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369E6" w14:textId="4A71073E" w:rsidR="00155094" w:rsidRPr="009513FE" w:rsidRDefault="00155094" w:rsidP="009513FE">
      <w:pPr>
        <w:contextualSpacing/>
        <w:jc w:val="both"/>
        <w:rPr>
          <w:b/>
          <w:sz w:val="22"/>
          <w:szCs w:val="22"/>
        </w:rPr>
      </w:pPr>
      <w:r w:rsidRPr="009513FE">
        <w:rPr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548A6F1" wp14:editId="20AC58D8">
            <wp:simplePos x="0" y="0"/>
            <wp:positionH relativeFrom="column">
              <wp:posOffset>4617720</wp:posOffset>
            </wp:positionH>
            <wp:positionV relativeFrom="paragraph">
              <wp:posOffset>-220139</wp:posOffset>
            </wp:positionV>
            <wp:extent cx="1137285" cy="1137285"/>
            <wp:effectExtent l="0" t="0" r="571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 Logo ko co chu_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137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278CB" w14:textId="34AC20BF" w:rsidR="00155094" w:rsidRPr="009513FE" w:rsidRDefault="00155094" w:rsidP="009513FE">
      <w:pPr>
        <w:contextualSpacing/>
        <w:jc w:val="both"/>
        <w:rPr>
          <w:b/>
          <w:sz w:val="22"/>
          <w:szCs w:val="22"/>
        </w:rPr>
      </w:pPr>
    </w:p>
    <w:p w14:paraId="04D0CE3B" w14:textId="0BEC3487" w:rsidR="00155094" w:rsidRPr="009513FE" w:rsidRDefault="00155094" w:rsidP="009513FE">
      <w:pPr>
        <w:contextualSpacing/>
        <w:jc w:val="both"/>
        <w:rPr>
          <w:b/>
          <w:sz w:val="22"/>
          <w:szCs w:val="22"/>
        </w:rPr>
      </w:pPr>
    </w:p>
    <w:p w14:paraId="4DD1038E" w14:textId="77777777" w:rsidR="00155094" w:rsidRPr="009513FE" w:rsidRDefault="00155094" w:rsidP="009513FE">
      <w:pPr>
        <w:contextualSpacing/>
        <w:jc w:val="both"/>
        <w:rPr>
          <w:b/>
          <w:sz w:val="22"/>
          <w:szCs w:val="22"/>
        </w:rPr>
      </w:pPr>
    </w:p>
    <w:p w14:paraId="7CF88737" w14:textId="77777777" w:rsidR="003E4F6C" w:rsidRPr="009513FE" w:rsidRDefault="003E4F6C" w:rsidP="009513FE">
      <w:pPr>
        <w:contextualSpacing/>
        <w:jc w:val="both"/>
        <w:rPr>
          <w:b/>
          <w:caps/>
          <w:sz w:val="22"/>
          <w:szCs w:val="22"/>
        </w:rPr>
      </w:pPr>
    </w:p>
    <w:p w14:paraId="65683ED7" w14:textId="77777777" w:rsidR="003E4F6C" w:rsidRPr="009513FE" w:rsidRDefault="003E4F6C" w:rsidP="009513FE">
      <w:pPr>
        <w:contextualSpacing/>
        <w:jc w:val="both"/>
        <w:rPr>
          <w:b/>
          <w:caps/>
          <w:sz w:val="22"/>
          <w:szCs w:val="22"/>
        </w:rPr>
      </w:pPr>
    </w:p>
    <w:p w14:paraId="6B3FB3AA" w14:textId="77777777" w:rsidR="003E4F6C" w:rsidRPr="009513FE" w:rsidRDefault="003E4F6C" w:rsidP="009513FE">
      <w:pPr>
        <w:contextualSpacing/>
        <w:jc w:val="both"/>
        <w:rPr>
          <w:b/>
          <w:caps/>
          <w:sz w:val="22"/>
          <w:szCs w:val="22"/>
        </w:rPr>
      </w:pPr>
    </w:p>
    <w:p w14:paraId="6556C8A2" w14:textId="77777777" w:rsidR="003E4F6C" w:rsidRPr="009513FE" w:rsidRDefault="003E4F6C" w:rsidP="009513FE">
      <w:pPr>
        <w:contextualSpacing/>
        <w:jc w:val="both"/>
        <w:rPr>
          <w:b/>
          <w:caps/>
          <w:sz w:val="22"/>
          <w:szCs w:val="22"/>
        </w:rPr>
      </w:pPr>
    </w:p>
    <w:p w14:paraId="3F93D45B" w14:textId="77777777" w:rsidR="009513FE" w:rsidRDefault="009513FE" w:rsidP="009513FE">
      <w:pPr>
        <w:contextualSpacing/>
        <w:jc w:val="both"/>
        <w:rPr>
          <w:b/>
          <w:caps/>
          <w:sz w:val="22"/>
          <w:szCs w:val="22"/>
        </w:rPr>
      </w:pPr>
    </w:p>
    <w:p w14:paraId="6591524F" w14:textId="61EFF3E0" w:rsidR="001150D4" w:rsidRPr="009513FE" w:rsidRDefault="001150D4" w:rsidP="009513FE">
      <w:pPr>
        <w:contextualSpacing/>
        <w:jc w:val="both"/>
        <w:rPr>
          <w:b/>
          <w:sz w:val="26"/>
          <w:szCs w:val="22"/>
        </w:rPr>
      </w:pPr>
      <w:r w:rsidRPr="009513FE">
        <w:rPr>
          <w:b/>
          <w:caps/>
          <w:sz w:val="26"/>
          <w:szCs w:val="22"/>
        </w:rPr>
        <w:t>Legal update</w:t>
      </w:r>
      <w:r w:rsidRPr="009513FE">
        <w:rPr>
          <w:b/>
          <w:sz w:val="26"/>
          <w:szCs w:val="22"/>
        </w:rPr>
        <w:t xml:space="preserve"> – </w:t>
      </w:r>
      <w:r w:rsidR="00BB3BA8" w:rsidRPr="009513FE">
        <w:rPr>
          <w:b/>
          <w:sz w:val="26"/>
          <w:szCs w:val="22"/>
        </w:rPr>
        <w:t xml:space="preserve">New </w:t>
      </w:r>
      <w:r w:rsidR="00AA2D7D" w:rsidRPr="009513FE">
        <w:rPr>
          <w:b/>
          <w:sz w:val="26"/>
          <w:szCs w:val="22"/>
        </w:rPr>
        <w:t>L</w:t>
      </w:r>
      <w:r w:rsidR="00BB3BA8" w:rsidRPr="009513FE">
        <w:rPr>
          <w:b/>
          <w:sz w:val="26"/>
          <w:szCs w:val="22"/>
        </w:rPr>
        <w:t xml:space="preserve">egislation </w:t>
      </w:r>
      <w:r w:rsidR="00AA2D7D" w:rsidRPr="009513FE">
        <w:rPr>
          <w:b/>
          <w:sz w:val="26"/>
          <w:szCs w:val="22"/>
        </w:rPr>
        <w:t>on Tax Administration</w:t>
      </w:r>
    </w:p>
    <w:p w14:paraId="4EEA2DD3" w14:textId="77777777" w:rsidR="00756514" w:rsidRDefault="00756514" w:rsidP="009513FE">
      <w:pPr>
        <w:contextualSpacing/>
        <w:jc w:val="both"/>
        <w:rPr>
          <w:sz w:val="22"/>
          <w:szCs w:val="22"/>
        </w:rPr>
      </w:pPr>
    </w:p>
    <w:p w14:paraId="6E465F0D" w14:textId="790A7032" w:rsidR="00BB3BA8" w:rsidRPr="009513FE" w:rsidRDefault="004934F6" w:rsidP="009513FE">
      <w:pPr>
        <w:contextualSpacing/>
        <w:jc w:val="both"/>
        <w:rPr>
          <w:sz w:val="22"/>
          <w:szCs w:val="22"/>
        </w:rPr>
      </w:pPr>
      <w:r w:rsidRPr="009513FE">
        <w:rPr>
          <w:sz w:val="22"/>
          <w:szCs w:val="22"/>
        </w:rPr>
        <w:t xml:space="preserve">On </w:t>
      </w:r>
      <w:r w:rsidR="00AA2D7D" w:rsidRPr="009513FE">
        <w:rPr>
          <w:sz w:val="22"/>
          <w:szCs w:val="22"/>
        </w:rPr>
        <w:t>19</w:t>
      </w:r>
      <w:r w:rsidRPr="009513FE">
        <w:rPr>
          <w:sz w:val="22"/>
          <w:szCs w:val="22"/>
        </w:rPr>
        <w:t xml:space="preserve"> </w:t>
      </w:r>
      <w:r w:rsidR="00AA2D7D" w:rsidRPr="009513FE">
        <w:rPr>
          <w:sz w:val="22"/>
          <w:szCs w:val="22"/>
        </w:rPr>
        <w:t>October</w:t>
      </w:r>
      <w:r w:rsidRPr="009513FE">
        <w:rPr>
          <w:sz w:val="22"/>
          <w:szCs w:val="22"/>
        </w:rPr>
        <w:t xml:space="preserve"> 2020, the Government of Vietnam issued </w:t>
      </w:r>
      <w:r w:rsidR="00AA2D7D" w:rsidRPr="009513FE">
        <w:rPr>
          <w:i/>
          <w:iCs/>
          <w:sz w:val="22"/>
          <w:szCs w:val="22"/>
        </w:rPr>
        <w:t>Decree</w:t>
      </w:r>
      <w:r w:rsidRPr="009513FE">
        <w:rPr>
          <w:i/>
          <w:iCs/>
          <w:sz w:val="22"/>
          <w:szCs w:val="22"/>
        </w:rPr>
        <w:t xml:space="preserve"> </w:t>
      </w:r>
      <w:r w:rsidR="00BC1C70" w:rsidRPr="009513FE">
        <w:rPr>
          <w:i/>
          <w:iCs/>
          <w:sz w:val="22"/>
          <w:szCs w:val="22"/>
        </w:rPr>
        <w:t xml:space="preserve">No. </w:t>
      </w:r>
      <w:r w:rsidR="00AA2D7D" w:rsidRPr="009513FE">
        <w:rPr>
          <w:i/>
          <w:iCs/>
          <w:sz w:val="22"/>
          <w:szCs w:val="22"/>
        </w:rPr>
        <w:t>126</w:t>
      </w:r>
      <w:r w:rsidR="00BC1C70" w:rsidRPr="009513FE">
        <w:rPr>
          <w:i/>
          <w:iCs/>
          <w:sz w:val="22"/>
          <w:szCs w:val="22"/>
        </w:rPr>
        <w:t>/N</w:t>
      </w:r>
      <w:r w:rsidR="00AA2D7D" w:rsidRPr="009513FE">
        <w:rPr>
          <w:i/>
          <w:iCs/>
          <w:sz w:val="22"/>
          <w:szCs w:val="22"/>
        </w:rPr>
        <w:t>D-CP detailing a number of articles of the Law on Tax Administration</w:t>
      </w:r>
      <w:r w:rsidR="00BC1C70" w:rsidRPr="009513FE">
        <w:rPr>
          <w:i/>
          <w:iCs/>
          <w:sz w:val="22"/>
          <w:szCs w:val="22"/>
        </w:rPr>
        <w:t xml:space="preserve"> </w:t>
      </w:r>
      <w:r w:rsidR="00983D49" w:rsidRPr="009513FE">
        <w:rPr>
          <w:i/>
          <w:iCs/>
          <w:sz w:val="22"/>
          <w:szCs w:val="22"/>
        </w:rPr>
        <w:t xml:space="preserve">2019 </w:t>
      </w:r>
      <w:r w:rsidR="00C021B5" w:rsidRPr="009513FE">
        <w:rPr>
          <w:sz w:val="22"/>
          <w:szCs w:val="22"/>
        </w:rPr>
        <w:t>(“</w:t>
      </w:r>
      <w:r w:rsidR="00AA2D7D" w:rsidRPr="009513FE">
        <w:rPr>
          <w:b/>
          <w:i/>
          <w:sz w:val="22"/>
          <w:szCs w:val="22"/>
        </w:rPr>
        <w:t>Decree</w:t>
      </w:r>
      <w:r w:rsidR="00BC1C70" w:rsidRPr="009513FE">
        <w:rPr>
          <w:b/>
          <w:i/>
          <w:sz w:val="22"/>
          <w:szCs w:val="22"/>
        </w:rPr>
        <w:t xml:space="preserve"> 1</w:t>
      </w:r>
      <w:r w:rsidR="00AA2D7D" w:rsidRPr="009513FE">
        <w:rPr>
          <w:b/>
          <w:i/>
          <w:sz w:val="22"/>
          <w:szCs w:val="22"/>
        </w:rPr>
        <w:t>26</w:t>
      </w:r>
      <w:r w:rsidR="00C021B5" w:rsidRPr="009513FE">
        <w:rPr>
          <w:sz w:val="22"/>
          <w:szCs w:val="22"/>
        </w:rPr>
        <w:t>”)</w:t>
      </w:r>
      <w:r w:rsidRPr="009513FE">
        <w:rPr>
          <w:sz w:val="22"/>
          <w:szCs w:val="22"/>
        </w:rPr>
        <w:t>.</w:t>
      </w:r>
      <w:r w:rsidR="00983D49" w:rsidRPr="009513FE">
        <w:rPr>
          <w:sz w:val="22"/>
          <w:szCs w:val="22"/>
        </w:rPr>
        <w:t xml:space="preserve"> </w:t>
      </w:r>
      <w:r w:rsidR="00E16406" w:rsidRPr="009513FE">
        <w:rPr>
          <w:sz w:val="22"/>
          <w:szCs w:val="22"/>
        </w:rPr>
        <w:t xml:space="preserve"> </w:t>
      </w:r>
    </w:p>
    <w:p w14:paraId="05DC80BD" w14:textId="77777777" w:rsidR="003E4F6C" w:rsidRPr="009513FE" w:rsidRDefault="003E4F6C" w:rsidP="009513FE">
      <w:pPr>
        <w:contextualSpacing/>
        <w:jc w:val="both"/>
        <w:rPr>
          <w:i/>
          <w:sz w:val="22"/>
          <w:szCs w:val="22"/>
        </w:rPr>
      </w:pPr>
    </w:p>
    <w:p w14:paraId="148D41C4" w14:textId="126D864E" w:rsidR="00F06554" w:rsidRPr="009513FE" w:rsidRDefault="00AA2D7D" w:rsidP="009513FE">
      <w:pPr>
        <w:contextualSpacing/>
        <w:jc w:val="both"/>
        <w:rPr>
          <w:sz w:val="22"/>
          <w:szCs w:val="22"/>
        </w:rPr>
      </w:pPr>
      <w:r w:rsidRPr="009513FE">
        <w:rPr>
          <w:i/>
          <w:sz w:val="22"/>
          <w:szCs w:val="22"/>
        </w:rPr>
        <w:t>Decree 126</w:t>
      </w:r>
      <w:r w:rsidR="00983D49" w:rsidRPr="009513FE">
        <w:rPr>
          <w:i/>
          <w:sz w:val="22"/>
          <w:szCs w:val="22"/>
        </w:rPr>
        <w:t xml:space="preserve">, </w:t>
      </w:r>
      <w:r w:rsidR="00983D49" w:rsidRPr="009513FE">
        <w:rPr>
          <w:sz w:val="22"/>
          <w:szCs w:val="22"/>
        </w:rPr>
        <w:t>which will take effect from 5 December 2020,</w:t>
      </w:r>
      <w:r w:rsidRPr="009513FE">
        <w:rPr>
          <w:sz w:val="22"/>
          <w:szCs w:val="22"/>
        </w:rPr>
        <w:t xml:space="preserve"> provides further detailed guidance on cases where individuals may be </w:t>
      </w:r>
      <w:r w:rsidR="00756514">
        <w:rPr>
          <w:sz w:val="22"/>
          <w:szCs w:val="22"/>
        </w:rPr>
        <w:t>suspended</w:t>
      </w:r>
      <w:r w:rsidRPr="009513FE">
        <w:rPr>
          <w:sz w:val="22"/>
          <w:szCs w:val="22"/>
        </w:rPr>
        <w:t xml:space="preserve"> from exiting Vietnam.</w:t>
      </w:r>
      <w:r w:rsidR="003E4F6C" w:rsidRPr="009513FE">
        <w:rPr>
          <w:sz w:val="22"/>
          <w:szCs w:val="22"/>
        </w:rPr>
        <w:t xml:space="preserve"> P</w:t>
      </w:r>
      <w:r w:rsidRPr="009513FE">
        <w:rPr>
          <w:sz w:val="22"/>
          <w:szCs w:val="22"/>
        </w:rPr>
        <w:t xml:space="preserve">ursuant to </w:t>
      </w:r>
      <w:r w:rsidRPr="009513FE">
        <w:rPr>
          <w:i/>
          <w:sz w:val="22"/>
          <w:szCs w:val="22"/>
        </w:rPr>
        <w:t>Article 21.1</w:t>
      </w:r>
      <w:r w:rsidRPr="009513FE">
        <w:rPr>
          <w:sz w:val="22"/>
          <w:szCs w:val="22"/>
        </w:rPr>
        <w:t xml:space="preserve"> of </w:t>
      </w:r>
      <w:r w:rsidRPr="009513FE">
        <w:rPr>
          <w:i/>
          <w:sz w:val="22"/>
          <w:szCs w:val="22"/>
        </w:rPr>
        <w:t>Decree 126</w:t>
      </w:r>
      <w:r w:rsidRPr="009513FE">
        <w:rPr>
          <w:sz w:val="22"/>
          <w:szCs w:val="22"/>
        </w:rPr>
        <w:t xml:space="preserve">, the following individuals may be </w:t>
      </w:r>
      <w:r w:rsidR="00756514">
        <w:rPr>
          <w:sz w:val="22"/>
          <w:szCs w:val="22"/>
        </w:rPr>
        <w:t>suspended</w:t>
      </w:r>
      <w:r w:rsidR="00756514" w:rsidRPr="009513FE">
        <w:rPr>
          <w:sz w:val="22"/>
          <w:szCs w:val="22"/>
        </w:rPr>
        <w:t xml:space="preserve"> </w:t>
      </w:r>
      <w:r w:rsidRPr="009513FE">
        <w:rPr>
          <w:sz w:val="22"/>
          <w:szCs w:val="22"/>
        </w:rPr>
        <w:t>from exiting Vietnam:</w:t>
      </w:r>
      <w:r w:rsidR="00F06554" w:rsidRPr="009513FE">
        <w:rPr>
          <w:sz w:val="22"/>
          <w:szCs w:val="22"/>
        </w:rPr>
        <w:t xml:space="preserve"> </w:t>
      </w:r>
    </w:p>
    <w:p w14:paraId="4D5BDA73" w14:textId="77777777" w:rsidR="003E4F6C" w:rsidRPr="009513FE" w:rsidRDefault="003E4F6C" w:rsidP="009513FE">
      <w:pPr>
        <w:contextualSpacing/>
        <w:jc w:val="both"/>
        <w:rPr>
          <w:sz w:val="22"/>
          <w:szCs w:val="22"/>
        </w:rPr>
      </w:pPr>
    </w:p>
    <w:p w14:paraId="3B0AF3C7" w14:textId="66ECDAA2" w:rsidR="00AA2D7D" w:rsidRPr="009513FE" w:rsidRDefault="00F06554" w:rsidP="009513F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</w:rPr>
      </w:pPr>
      <w:r w:rsidRPr="009513FE">
        <w:rPr>
          <w:rFonts w:ascii="Times New Roman" w:hAnsi="Times New Roman" w:cs="Times New Roman"/>
          <w:sz w:val="22"/>
        </w:rPr>
        <w:t>an individual</w:t>
      </w:r>
      <w:r w:rsidR="00AA2D7D" w:rsidRPr="009513FE">
        <w:rPr>
          <w:rFonts w:ascii="Times New Roman" w:hAnsi="Times New Roman" w:cs="Times New Roman"/>
          <w:sz w:val="22"/>
        </w:rPr>
        <w:t xml:space="preserve"> </w:t>
      </w:r>
      <w:r w:rsidRPr="009513FE">
        <w:rPr>
          <w:rFonts w:ascii="Times New Roman" w:hAnsi="Times New Roman" w:cs="Times New Roman"/>
          <w:sz w:val="22"/>
        </w:rPr>
        <w:t>who is the legal representative</w:t>
      </w:r>
      <w:r w:rsidR="00AA2D7D" w:rsidRPr="009513FE">
        <w:rPr>
          <w:rFonts w:ascii="Times New Roman" w:hAnsi="Times New Roman" w:cs="Times New Roman"/>
          <w:sz w:val="22"/>
        </w:rPr>
        <w:t xml:space="preserve"> of </w:t>
      </w:r>
      <w:r w:rsidRPr="009513FE">
        <w:rPr>
          <w:rFonts w:ascii="Times New Roman" w:hAnsi="Times New Roman" w:cs="Times New Roman"/>
          <w:sz w:val="22"/>
        </w:rPr>
        <w:t>a</w:t>
      </w:r>
      <w:r w:rsidR="00AA2D7D" w:rsidRPr="009513FE">
        <w:rPr>
          <w:rFonts w:ascii="Times New Roman" w:hAnsi="Times New Roman" w:cs="Times New Roman"/>
          <w:sz w:val="22"/>
        </w:rPr>
        <w:t xml:space="preserve"> </w:t>
      </w:r>
      <w:r w:rsidRPr="009513FE">
        <w:rPr>
          <w:rFonts w:ascii="Times New Roman" w:hAnsi="Times New Roman" w:cs="Times New Roman"/>
          <w:sz w:val="22"/>
        </w:rPr>
        <w:t xml:space="preserve">Vietnamese corporate </w:t>
      </w:r>
      <w:r w:rsidR="00AA2D7D" w:rsidRPr="009513FE">
        <w:rPr>
          <w:rFonts w:ascii="Times New Roman" w:hAnsi="Times New Roman" w:cs="Times New Roman"/>
          <w:sz w:val="22"/>
        </w:rPr>
        <w:t>taxpayer</w:t>
      </w:r>
      <w:r w:rsidRPr="009513FE">
        <w:rPr>
          <w:rFonts w:ascii="Times New Roman" w:hAnsi="Times New Roman" w:cs="Times New Roman"/>
          <w:sz w:val="22"/>
        </w:rPr>
        <w:t xml:space="preserve"> which is</w:t>
      </w:r>
      <w:r w:rsidR="00AA2D7D" w:rsidRPr="009513FE">
        <w:rPr>
          <w:rFonts w:ascii="Times New Roman" w:hAnsi="Times New Roman" w:cs="Times New Roman"/>
          <w:sz w:val="22"/>
        </w:rPr>
        <w:t xml:space="preserve"> </w:t>
      </w:r>
      <w:r w:rsidRPr="009513FE">
        <w:rPr>
          <w:rFonts w:ascii="Times New Roman" w:hAnsi="Times New Roman" w:cs="Times New Roman"/>
          <w:sz w:val="22"/>
        </w:rPr>
        <w:t>under an enforcement order of the government authority to fulfil</w:t>
      </w:r>
      <w:r w:rsidR="00AA2D7D" w:rsidRPr="009513FE">
        <w:rPr>
          <w:rFonts w:ascii="Times New Roman" w:hAnsi="Times New Roman" w:cs="Times New Roman"/>
          <w:sz w:val="22"/>
        </w:rPr>
        <w:t xml:space="preserve"> </w:t>
      </w:r>
      <w:r w:rsidRPr="009513FE">
        <w:rPr>
          <w:rFonts w:ascii="Times New Roman" w:hAnsi="Times New Roman" w:cs="Times New Roman"/>
          <w:sz w:val="22"/>
        </w:rPr>
        <w:t>its tax obligation;</w:t>
      </w:r>
      <w:r w:rsidR="009513FE" w:rsidRPr="009513FE">
        <w:rPr>
          <w:rFonts w:ascii="Times New Roman" w:hAnsi="Times New Roman" w:cs="Times New Roman"/>
          <w:sz w:val="22"/>
        </w:rPr>
        <w:t xml:space="preserve"> </w:t>
      </w:r>
    </w:p>
    <w:p w14:paraId="62DEA14E" w14:textId="77777777" w:rsidR="00F06554" w:rsidRPr="009513FE" w:rsidRDefault="00F06554" w:rsidP="009513FE">
      <w:pPr>
        <w:pStyle w:val="ListParagraph"/>
        <w:jc w:val="both"/>
        <w:rPr>
          <w:rFonts w:ascii="Times New Roman" w:hAnsi="Times New Roman" w:cs="Times New Roman"/>
          <w:sz w:val="22"/>
        </w:rPr>
      </w:pPr>
    </w:p>
    <w:p w14:paraId="09BBD7D3" w14:textId="63F14553" w:rsidR="00AA2D7D" w:rsidRPr="009513FE" w:rsidRDefault="00F06554" w:rsidP="009513F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</w:rPr>
      </w:pPr>
      <w:r w:rsidRPr="009513FE">
        <w:rPr>
          <w:rFonts w:ascii="Times New Roman" w:hAnsi="Times New Roman" w:cs="Times New Roman"/>
          <w:sz w:val="22"/>
        </w:rPr>
        <w:t xml:space="preserve">a </w:t>
      </w:r>
      <w:r w:rsidR="00AA2D7D" w:rsidRPr="009513FE">
        <w:rPr>
          <w:rFonts w:ascii="Times New Roman" w:hAnsi="Times New Roman" w:cs="Times New Roman"/>
          <w:sz w:val="22"/>
        </w:rPr>
        <w:t xml:space="preserve">Vietnamese </w:t>
      </w:r>
      <w:r w:rsidRPr="009513FE">
        <w:rPr>
          <w:rFonts w:ascii="Times New Roman" w:hAnsi="Times New Roman" w:cs="Times New Roman"/>
          <w:sz w:val="22"/>
        </w:rPr>
        <w:t>individual</w:t>
      </w:r>
      <w:r w:rsidR="00AA2D7D" w:rsidRPr="009513FE">
        <w:rPr>
          <w:rFonts w:ascii="Times New Roman" w:hAnsi="Times New Roman" w:cs="Times New Roman"/>
          <w:sz w:val="22"/>
        </w:rPr>
        <w:t xml:space="preserve"> who leave</w:t>
      </w:r>
      <w:r w:rsidRPr="009513FE">
        <w:rPr>
          <w:rFonts w:ascii="Times New Roman" w:hAnsi="Times New Roman" w:cs="Times New Roman"/>
          <w:sz w:val="22"/>
        </w:rPr>
        <w:t xml:space="preserve">s to settle abroad </w:t>
      </w:r>
      <w:r w:rsidR="00E82644">
        <w:rPr>
          <w:rFonts w:ascii="Times New Roman" w:hAnsi="Times New Roman" w:cs="Times New Roman"/>
          <w:sz w:val="22"/>
        </w:rPr>
        <w:t xml:space="preserve">and </w:t>
      </w:r>
      <w:r w:rsidRPr="009513FE">
        <w:rPr>
          <w:rFonts w:ascii="Times New Roman" w:hAnsi="Times New Roman" w:cs="Times New Roman"/>
          <w:sz w:val="22"/>
        </w:rPr>
        <w:t>has</w:t>
      </w:r>
      <w:r w:rsidR="00AA2D7D" w:rsidRPr="009513FE">
        <w:rPr>
          <w:rFonts w:ascii="Times New Roman" w:hAnsi="Times New Roman" w:cs="Times New Roman"/>
          <w:sz w:val="22"/>
        </w:rPr>
        <w:t xml:space="preserve"> not fulfilled </w:t>
      </w:r>
      <w:r w:rsidRPr="009513FE">
        <w:rPr>
          <w:rFonts w:ascii="Times New Roman" w:hAnsi="Times New Roman" w:cs="Times New Roman"/>
          <w:sz w:val="22"/>
        </w:rPr>
        <w:t>his or he</w:t>
      </w:r>
      <w:r w:rsidR="00AA2D7D" w:rsidRPr="009513FE">
        <w:rPr>
          <w:rFonts w:ascii="Times New Roman" w:hAnsi="Times New Roman" w:cs="Times New Roman"/>
          <w:sz w:val="22"/>
        </w:rPr>
        <w:t>r tax obligation</w:t>
      </w:r>
      <w:r w:rsidRPr="009513FE">
        <w:rPr>
          <w:rFonts w:ascii="Times New Roman" w:hAnsi="Times New Roman" w:cs="Times New Roman"/>
          <w:sz w:val="22"/>
        </w:rPr>
        <w:t>;</w:t>
      </w:r>
      <w:r w:rsidR="009513FE" w:rsidRPr="009513FE">
        <w:rPr>
          <w:rFonts w:ascii="Times New Roman" w:hAnsi="Times New Roman" w:cs="Times New Roman"/>
          <w:sz w:val="22"/>
        </w:rPr>
        <w:t xml:space="preserve"> </w:t>
      </w:r>
    </w:p>
    <w:p w14:paraId="1F818245" w14:textId="77777777" w:rsidR="00F06554" w:rsidRPr="009513FE" w:rsidRDefault="00F06554" w:rsidP="009513FE">
      <w:pPr>
        <w:pStyle w:val="ListParagraph"/>
        <w:jc w:val="both"/>
        <w:rPr>
          <w:rFonts w:ascii="Times New Roman" w:hAnsi="Times New Roman" w:cs="Times New Roman"/>
          <w:sz w:val="22"/>
        </w:rPr>
      </w:pPr>
    </w:p>
    <w:p w14:paraId="4ACA8E6F" w14:textId="274389EB" w:rsidR="00AA2D7D" w:rsidRPr="009513FE" w:rsidRDefault="00F06554" w:rsidP="009513F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</w:rPr>
      </w:pPr>
      <w:r w:rsidRPr="009513FE">
        <w:rPr>
          <w:rFonts w:ascii="Times New Roman" w:hAnsi="Times New Roman" w:cs="Times New Roman"/>
          <w:sz w:val="22"/>
        </w:rPr>
        <w:t>an</w:t>
      </w:r>
      <w:r w:rsidR="00AA2D7D" w:rsidRPr="009513FE">
        <w:rPr>
          <w:rFonts w:ascii="Times New Roman" w:hAnsi="Times New Roman" w:cs="Times New Roman"/>
          <w:sz w:val="22"/>
        </w:rPr>
        <w:t xml:space="preserve"> overseas Vietnamese </w:t>
      </w:r>
      <w:r w:rsidRPr="009513FE">
        <w:rPr>
          <w:rFonts w:ascii="Times New Roman" w:hAnsi="Times New Roman" w:cs="Times New Roman"/>
          <w:sz w:val="22"/>
        </w:rPr>
        <w:t xml:space="preserve">who </w:t>
      </w:r>
      <w:r w:rsidR="00AA2D7D" w:rsidRPr="009513FE">
        <w:rPr>
          <w:rFonts w:ascii="Times New Roman" w:hAnsi="Times New Roman" w:cs="Times New Roman"/>
          <w:sz w:val="22"/>
        </w:rPr>
        <w:t>ha</w:t>
      </w:r>
      <w:r w:rsidRPr="009513FE">
        <w:rPr>
          <w:rFonts w:ascii="Times New Roman" w:hAnsi="Times New Roman" w:cs="Times New Roman"/>
          <w:sz w:val="22"/>
        </w:rPr>
        <w:t>s</w:t>
      </w:r>
      <w:r w:rsidR="00AA2D7D" w:rsidRPr="009513FE">
        <w:rPr>
          <w:rFonts w:ascii="Times New Roman" w:hAnsi="Times New Roman" w:cs="Times New Roman"/>
          <w:sz w:val="22"/>
        </w:rPr>
        <w:t xml:space="preserve"> not fulfilled </w:t>
      </w:r>
      <w:r w:rsidRPr="009513FE">
        <w:rPr>
          <w:rFonts w:ascii="Times New Roman" w:hAnsi="Times New Roman" w:cs="Times New Roman"/>
          <w:sz w:val="22"/>
        </w:rPr>
        <w:t>his or her</w:t>
      </w:r>
      <w:r w:rsidR="00AA2D7D" w:rsidRPr="009513FE">
        <w:rPr>
          <w:rFonts w:ascii="Times New Roman" w:hAnsi="Times New Roman" w:cs="Times New Roman"/>
          <w:sz w:val="22"/>
        </w:rPr>
        <w:t xml:space="preserve"> tax obliga</w:t>
      </w:r>
      <w:r w:rsidRPr="009513FE">
        <w:rPr>
          <w:rFonts w:ascii="Times New Roman" w:hAnsi="Times New Roman" w:cs="Times New Roman"/>
          <w:sz w:val="22"/>
        </w:rPr>
        <w:t>tion before leaving the country;</w:t>
      </w:r>
      <w:r w:rsidR="00983D49" w:rsidRPr="009513FE">
        <w:rPr>
          <w:rFonts w:ascii="Times New Roman" w:hAnsi="Times New Roman" w:cs="Times New Roman"/>
          <w:sz w:val="22"/>
        </w:rPr>
        <w:t xml:space="preserve"> </w:t>
      </w:r>
      <w:r w:rsidR="009513FE" w:rsidRPr="009513FE">
        <w:rPr>
          <w:rFonts w:ascii="Times New Roman" w:hAnsi="Times New Roman" w:cs="Times New Roman"/>
          <w:sz w:val="22"/>
        </w:rPr>
        <w:t>or</w:t>
      </w:r>
    </w:p>
    <w:p w14:paraId="19151370" w14:textId="77777777" w:rsidR="00F06554" w:rsidRPr="009513FE" w:rsidRDefault="00F06554" w:rsidP="009513FE">
      <w:pPr>
        <w:pStyle w:val="ListParagraph"/>
        <w:jc w:val="both"/>
        <w:rPr>
          <w:rFonts w:ascii="Times New Roman" w:hAnsi="Times New Roman" w:cs="Times New Roman"/>
          <w:sz w:val="22"/>
        </w:rPr>
      </w:pPr>
    </w:p>
    <w:p w14:paraId="24DA2672" w14:textId="7027EAA0" w:rsidR="00F06554" w:rsidRPr="009513FE" w:rsidRDefault="00F06554" w:rsidP="009513F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</w:rPr>
      </w:pPr>
      <w:r w:rsidRPr="009513FE">
        <w:rPr>
          <w:rFonts w:ascii="Times New Roman" w:hAnsi="Times New Roman" w:cs="Times New Roman"/>
          <w:sz w:val="22"/>
        </w:rPr>
        <w:t>a</w:t>
      </w:r>
      <w:r w:rsidR="00E82644">
        <w:rPr>
          <w:rFonts w:ascii="Times New Roman" w:hAnsi="Times New Roman" w:cs="Times New Roman"/>
          <w:sz w:val="22"/>
        </w:rPr>
        <w:t xml:space="preserve"> </w:t>
      </w:r>
      <w:r w:rsidRPr="009513FE">
        <w:rPr>
          <w:rFonts w:ascii="Times New Roman" w:hAnsi="Times New Roman" w:cs="Times New Roman"/>
          <w:sz w:val="22"/>
        </w:rPr>
        <w:t>foreigner who has not fulfilled his or her tax obligation</w:t>
      </w:r>
      <w:r w:rsidR="00983D49" w:rsidRPr="009513FE">
        <w:rPr>
          <w:rFonts w:ascii="Times New Roman" w:hAnsi="Times New Roman" w:cs="Times New Roman"/>
          <w:sz w:val="22"/>
        </w:rPr>
        <w:t xml:space="preserve"> before leaving the country.</w:t>
      </w:r>
    </w:p>
    <w:p w14:paraId="42B0ADB2" w14:textId="77777777" w:rsidR="003E4F6C" w:rsidRPr="009513FE" w:rsidRDefault="003E4F6C" w:rsidP="009513FE">
      <w:pPr>
        <w:contextualSpacing/>
        <w:jc w:val="both"/>
        <w:rPr>
          <w:sz w:val="22"/>
          <w:szCs w:val="22"/>
        </w:rPr>
      </w:pPr>
    </w:p>
    <w:p w14:paraId="57C718C1" w14:textId="048760F5" w:rsidR="00AA2D7D" w:rsidRDefault="00983D49" w:rsidP="009513FE">
      <w:pPr>
        <w:contextualSpacing/>
        <w:jc w:val="both"/>
        <w:rPr>
          <w:sz w:val="22"/>
          <w:szCs w:val="22"/>
        </w:rPr>
      </w:pPr>
      <w:r w:rsidRPr="009513FE">
        <w:rPr>
          <w:sz w:val="22"/>
          <w:szCs w:val="22"/>
        </w:rPr>
        <w:t>The head of the</w:t>
      </w:r>
      <w:r w:rsidR="00E82644">
        <w:rPr>
          <w:sz w:val="22"/>
          <w:szCs w:val="22"/>
        </w:rPr>
        <w:t xml:space="preserve"> relevant</w:t>
      </w:r>
      <w:r w:rsidRPr="009513FE">
        <w:rPr>
          <w:sz w:val="22"/>
          <w:szCs w:val="22"/>
        </w:rPr>
        <w:t xml:space="preserve"> tax administration agency </w:t>
      </w:r>
      <w:r w:rsidR="00E82644">
        <w:rPr>
          <w:sz w:val="22"/>
          <w:szCs w:val="22"/>
        </w:rPr>
        <w:t>may</w:t>
      </w:r>
      <w:r w:rsidRPr="009513FE">
        <w:rPr>
          <w:sz w:val="22"/>
          <w:szCs w:val="22"/>
        </w:rPr>
        <w:t xml:space="preserve"> decide whether to </w:t>
      </w:r>
      <w:r w:rsidR="00756514">
        <w:rPr>
          <w:sz w:val="22"/>
          <w:szCs w:val="22"/>
        </w:rPr>
        <w:t>suspend</w:t>
      </w:r>
      <w:r w:rsidR="00756514" w:rsidRPr="009513FE">
        <w:rPr>
          <w:sz w:val="22"/>
          <w:szCs w:val="22"/>
        </w:rPr>
        <w:t xml:space="preserve"> </w:t>
      </w:r>
      <w:r w:rsidRPr="009513FE">
        <w:rPr>
          <w:sz w:val="22"/>
          <w:szCs w:val="22"/>
        </w:rPr>
        <w:t>the relevant individual from exiting Vietnam, depending on the actual situation and the local tax administration</w:t>
      </w:r>
      <w:r w:rsidR="00E82644">
        <w:rPr>
          <w:sz w:val="22"/>
          <w:szCs w:val="22"/>
        </w:rPr>
        <w:t>’s</w:t>
      </w:r>
      <w:r w:rsidRPr="009513FE">
        <w:rPr>
          <w:sz w:val="22"/>
          <w:szCs w:val="22"/>
        </w:rPr>
        <w:t xml:space="preserve"> requirements.</w:t>
      </w:r>
    </w:p>
    <w:p w14:paraId="2F82325E" w14:textId="77777777" w:rsidR="00596CB7" w:rsidRDefault="00596CB7" w:rsidP="009513FE">
      <w:pPr>
        <w:contextualSpacing/>
        <w:jc w:val="both"/>
        <w:rPr>
          <w:sz w:val="22"/>
          <w:szCs w:val="22"/>
        </w:rPr>
      </w:pPr>
    </w:p>
    <w:p w14:paraId="30D31604" w14:textId="002C160A" w:rsidR="00596CB7" w:rsidRPr="009513FE" w:rsidRDefault="00596CB7" w:rsidP="009513FE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The above decision on</w:t>
      </w:r>
      <w:r w:rsidRPr="00596CB7">
        <w:rPr>
          <w:sz w:val="22"/>
          <w:szCs w:val="22"/>
        </w:rPr>
        <w:t xml:space="preserve"> exit suspension </w:t>
      </w:r>
      <w:r w:rsidR="00E82644">
        <w:rPr>
          <w:sz w:val="22"/>
          <w:szCs w:val="22"/>
        </w:rPr>
        <w:t>will be withdrawn within</w:t>
      </w:r>
      <w:r w:rsidRPr="00596CB7">
        <w:rPr>
          <w:sz w:val="22"/>
          <w:szCs w:val="22"/>
        </w:rPr>
        <w:t xml:space="preserve"> 24 </w:t>
      </w:r>
      <w:r>
        <w:rPr>
          <w:sz w:val="22"/>
          <w:szCs w:val="22"/>
        </w:rPr>
        <w:t>business</w:t>
      </w:r>
      <w:r w:rsidRPr="00596CB7">
        <w:rPr>
          <w:sz w:val="22"/>
          <w:szCs w:val="22"/>
        </w:rPr>
        <w:t xml:space="preserve"> hours from the </w:t>
      </w:r>
      <w:r>
        <w:rPr>
          <w:sz w:val="22"/>
          <w:szCs w:val="22"/>
        </w:rPr>
        <w:t>time</w:t>
      </w:r>
      <w:r w:rsidRPr="00596CB7">
        <w:rPr>
          <w:sz w:val="22"/>
          <w:szCs w:val="22"/>
        </w:rPr>
        <w:t xml:space="preserve"> the </w:t>
      </w:r>
      <w:r>
        <w:rPr>
          <w:sz w:val="22"/>
          <w:szCs w:val="22"/>
        </w:rPr>
        <w:t xml:space="preserve">relevant </w:t>
      </w:r>
      <w:r w:rsidRPr="00596CB7">
        <w:rPr>
          <w:sz w:val="22"/>
          <w:szCs w:val="22"/>
        </w:rPr>
        <w:t xml:space="preserve">taxpayer </w:t>
      </w:r>
      <w:r>
        <w:rPr>
          <w:sz w:val="22"/>
          <w:szCs w:val="22"/>
        </w:rPr>
        <w:t>fulfils its</w:t>
      </w:r>
      <w:r w:rsidR="00756514">
        <w:rPr>
          <w:sz w:val="22"/>
          <w:szCs w:val="22"/>
        </w:rPr>
        <w:t>, his or her</w:t>
      </w:r>
      <w:r w:rsidRPr="00596CB7">
        <w:rPr>
          <w:sz w:val="22"/>
          <w:szCs w:val="22"/>
        </w:rPr>
        <w:t xml:space="preserve"> tax obligation</w:t>
      </w:r>
      <w:r w:rsidR="00756514">
        <w:rPr>
          <w:sz w:val="22"/>
          <w:szCs w:val="22"/>
        </w:rPr>
        <w:t>,</w:t>
      </w:r>
      <w:r>
        <w:rPr>
          <w:sz w:val="22"/>
          <w:szCs w:val="22"/>
        </w:rPr>
        <w:t xml:space="preserve"> evidenced by</w:t>
      </w:r>
      <w:r w:rsidR="00E82644">
        <w:rPr>
          <w:sz w:val="22"/>
          <w:szCs w:val="22"/>
        </w:rPr>
        <w:t xml:space="preserve"> proof of</w:t>
      </w:r>
      <w:r>
        <w:rPr>
          <w:sz w:val="22"/>
          <w:szCs w:val="22"/>
        </w:rPr>
        <w:t xml:space="preserve"> tax payment</w:t>
      </w:r>
      <w:r w:rsidRPr="00596CB7">
        <w:rPr>
          <w:sz w:val="22"/>
          <w:szCs w:val="22"/>
        </w:rPr>
        <w:t>.</w:t>
      </w:r>
    </w:p>
    <w:p w14:paraId="0F045624" w14:textId="77777777" w:rsidR="003E4F6C" w:rsidRPr="009513FE" w:rsidRDefault="003E4F6C" w:rsidP="009513FE">
      <w:pPr>
        <w:contextualSpacing/>
        <w:jc w:val="both"/>
        <w:rPr>
          <w:sz w:val="22"/>
          <w:szCs w:val="22"/>
        </w:rPr>
      </w:pPr>
    </w:p>
    <w:p w14:paraId="1DF387CC" w14:textId="510172C6" w:rsidR="003E4F6C" w:rsidRPr="009513FE" w:rsidRDefault="009513FE" w:rsidP="009513FE">
      <w:pPr>
        <w:contextualSpacing/>
        <w:jc w:val="both"/>
        <w:rPr>
          <w:sz w:val="22"/>
          <w:szCs w:val="22"/>
        </w:rPr>
      </w:pPr>
      <w:r w:rsidRPr="009513FE">
        <w:rPr>
          <w:sz w:val="22"/>
          <w:szCs w:val="22"/>
        </w:rPr>
        <w:t xml:space="preserve">Pursuant to </w:t>
      </w:r>
      <w:r w:rsidR="003E4F6C" w:rsidRPr="009513FE">
        <w:rPr>
          <w:sz w:val="22"/>
          <w:szCs w:val="22"/>
        </w:rPr>
        <w:t xml:space="preserve">the </w:t>
      </w:r>
      <w:r w:rsidR="003E4F6C" w:rsidRPr="009513FE">
        <w:rPr>
          <w:i/>
          <w:sz w:val="22"/>
          <w:szCs w:val="22"/>
        </w:rPr>
        <w:t>Law on </w:t>
      </w:r>
      <w:hyperlink r:id="rId8" w:tgtFrame="_blank" w:history="1">
        <w:r w:rsidR="003E4F6C" w:rsidRPr="009513FE">
          <w:rPr>
            <w:i/>
            <w:sz w:val="22"/>
            <w:szCs w:val="22"/>
          </w:rPr>
          <w:t>Personal Income Tax</w:t>
        </w:r>
      </w:hyperlink>
      <w:r w:rsidR="003E4F6C" w:rsidRPr="009513FE">
        <w:rPr>
          <w:i/>
          <w:sz w:val="22"/>
          <w:szCs w:val="22"/>
        </w:rPr>
        <w:t xml:space="preserve"> (PIT) </w:t>
      </w:r>
      <w:r w:rsidRPr="009513FE">
        <w:rPr>
          <w:i/>
          <w:sz w:val="22"/>
          <w:szCs w:val="22"/>
        </w:rPr>
        <w:t>dated</w:t>
      </w:r>
      <w:r w:rsidR="003E4F6C" w:rsidRPr="009513FE">
        <w:rPr>
          <w:i/>
          <w:sz w:val="22"/>
          <w:szCs w:val="22"/>
        </w:rPr>
        <w:t xml:space="preserve"> </w:t>
      </w:r>
      <w:r w:rsidRPr="009513FE">
        <w:rPr>
          <w:i/>
          <w:sz w:val="22"/>
          <w:szCs w:val="22"/>
        </w:rPr>
        <w:t xml:space="preserve">21 </w:t>
      </w:r>
      <w:r w:rsidR="003E4F6C" w:rsidRPr="009513FE">
        <w:rPr>
          <w:i/>
          <w:sz w:val="22"/>
          <w:szCs w:val="22"/>
        </w:rPr>
        <w:t>November</w:t>
      </w:r>
      <w:r w:rsidR="003E4F6C" w:rsidRPr="009513FE">
        <w:rPr>
          <w:sz w:val="22"/>
          <w:szCs w:val="22"/>
        </w:rPr>
        <w:t xml:space="preserve"> </w:t>
      </w:r>
      <w:r w:rsidRPr="009513FE">
        <w:rPr>
          <w:i/>
          <w:sz w:val="22"/>
          <w:szCs w:val="22"/>
        </w:rPr>
        <w:t>2007 (as amended in 2009, 2012 and 2014)</w:t>
      </w:r>
      <w:r w:rsidR="003E4F6C" w:rsidRPr="009513FE">
        <w:rPr>
          <w:sz w:val="22"/>
          <w:szCs w:val="22"/>
        </w:rPr>
        <w:t>, one would be considered as a Vietnamese tax resident if he or she:</w:t>
      </w:r>
    </w:p>
    <w:p w14:paraId="346959B4" w14:textId="77777777" w:rsidR="003E4F6C" w:rsidRPr="009513FE" w:rsidRDefault="003E4F6C" w:rsidP="009513FE">
      <w:pPr>
        <w:contextualSpacing/>
        <w:jc w:val="both"/>
        <w:rPr>
          <w:sz w:val="22"/>
          <w:szCs w:val="22"/>
        </w:rPr>
      </w:pPr>
    </w:p>
    <w:p w14:paraId="111C77C0" w14:textId="05E19CE7" w:rsidR="003E4F6C" w:rsidRPr="009513FE" w:rsidRDefault="00E82644" w:rsidP="009513F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stays</w:t>
      </w:r>
      <w:r w:rsidR="003E4F6C" w:rsidRPr="003E4F6C">
        <w:rPr>
          <w:rFonts w:ascii="Times New Roman" w:hAnsi="Times New Roman" w:cs="Times New Roman"/>
          <w:sz w:val="22"/>
        </w:rPr>
        <w:t xml:space="preserve"> in Vietnam for an aggregate of 183 days or more within one calendar year or a consecutive 12-month period from the first date of arrival;</w:t>
      </w:r>
      <w:r w:rsidR="009513FE" w:rsidRPr="009513FE">
        <w:rPr>
          <w:rFonts w:ascii="Times New Roman" w:hAnsi="Times New Roman" w:cs="Times New Roman"/>
          <w:sz w:val="22"/>
        </w:rPr>
        <w:t xml:space="preserve"> </w:t>
      </w:r>
    </w:p>
    <w:p w14:paraId="07723815" w14:textId="77777777" w:rsidR="003E4F6C" w:rsidRPr="009513FE" w:rsidRDefault="003E4F6C" w:rsidP="009513FE">
      <w:pPr>
        <w:pStyle w:val="ListParagraph"/>
        <w:jc w:val="both"/>
        <w:rPr>
          <w:rFonts w:ascii="Times New Roman" w:hAnsi="Times New Roman" w:cs="Times New Roman"/>
          <w:sz w:val="22"/>
        </w:rPr>
      </w:pPr>
    </w:p>
    <w:p w14:paraId="5C390F1D" w14:textId="3F9D0619" w:rsidR="003E4F6C" w:rsidRPr="003E4F6C" w:rsidRDefault="003E4F6C" w:rsidP="009513F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</w:rPr>
      </w:pPr>
      <w:r w:rsidRPr="009513FE">
        <w:rPr>
          <w:rFonts w:ascii="Times New Roman" w:hAnsi="Times New Roman" w:cs="Times New Roman"/>
          <w:sz w:val="22"/>
        </w:rPr>
        <w:t>h</w:t>
      </w:r>
      <w:r w:rsidRPr="003E4F6C">
        <w:rPr>
          <w:rFonts w:ascii="Times New Roman" w:hAnsi="Times New Roman" w:cs="Times New Roman"/>
          <w:sz w:val="22"/>
        </w:rPr>
        <w:t>as a permanent residence that has been registered pursuant to the Law on Residence</w:t>
      </w:r>
      <w:r w:rsidRPr="009513FE">
        <w:rPr>
          <w:rFonts w:ascii="Times New Roman" w:hAnsi="Times New Roman" w:cs="Times New Roman"/>
          <w:sz w:val="22"/>
        </w:rPr>
        <w:t xml:space="preserve"> of Vietnam</w:t>
      </w:r>
      <w:r w:rsidR="009513FE" w:rsidRPr="009513FE">
        <w:rPr>
          <w:rFonts w:ascii="Times New Roman" w:hAnsi="Times New Roman" w:cs="Times New Roman"/>
          <w:sz w:val="22"/>
        </w:rPr>
        <w:t>; or</w:t>
      </w:r>
    </w:p>
    <w:p w14:paraId="43DE36E0" w14:textId="77777777" w:rsidR="003E4F6C" w:rsidRPr="009513FE" w:rsidRDefault="003E4F6C" w:rsidP="009513FE">
      <w:pPr>
        <w:pStyle w:val="ListParagraph"/>
        <w:jc w:val="both"/>
        <w:rPr>
          <w:rFonts w:ascii="Times New Roman" w:hAnsi="Times New Roman" w:cs="Times New Roman"/>
          <w:sz w:val="22"/>
        </w:rPr>
      </w:pPr>
    </w:p>
    <w:p w14:paraId="1405A00F" w14:textId="621B46CB" w:rsidR="003E4F6C" w:rsidRPr="003E4F6C" w:rsidRDefault="003E4F6C" w:rsidP="009513F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2"/>
        </w:rPr>
      </w:pPr>
      <w:r w:rsidRPr="009513FE">
        <w:rPr>
          <w:rFonts w:ascii="Times New Roman" w:hAnsi="Times New Roman" w:cs="Times New Roman"/>
          <w:sz w:val="22"/>
        </w:rPr>
        <w:t>h</w:t>
      </w:r>
      <w:r w:rsidRPr="003E4F6C">
        <w:rPr>
          <w:rFonts w:ascii="Times New Roman" w:hAnsi="Times New Roman" w:cs="Times New Roman"/>
          <w:sz w:val="22"/>
        </w:rPr>
        <w:t>as a leased residence to stay in Vietnam where the lease contract has a term of 183 days or more within the tax assessment year. Leased residences include hotels, boarding houses, rest houses, lodgings, and working offices.</w:t>
      </w:r>
    </w:p>
    <w:p w14:paraId="48A311D3" w14:textId="77777777" w:rsidR="003E4F6C" w:rsidRPr="009513FE" w:rsidRDefault="003E4F6C" w:rsidP="009513FE">
      <w:pPr>
        <w:contextualSpacing/>
        <w:jc w:val="both"/>
        <w:rPr>
          <w:sz w:val="22"/>
          <w:szCs w:val="22"/>
        </w:rPr>
      </w:pPr>
    </w:p>
    <w:p w14:paraId="0B2748EC" w14:textId="268DF87A" w:rsidR="003E4F6C" w:rsidRPr="003E4F6C" w:rsidRDefault="00596CB7" w:rsidP="009513FE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 Vietnamese t</w:t>
      </w:r>
      <w:r w:rsidR="003E4F6C" w:rsidRPr="003E4F6C">
        <w:rPr>
          <w:sz w:val="22"/>
          <w:szCs w:val="22"/>
        </w:rPr>
        <w:t>ax resident</w:t>
      </w:r>
      <w:r>
        <w:rPr>
          <w:sz w:val="22"/>
          <w:szCs w:val="22"/>
        </w:rPr>
        <w:t xml:space="preserve"> is</w:t>
      </w:r>
      <w:r w:rsidR="003E4F6C" w:rsidRPr="003E4F6C">
        <w:rPr>
          <w:sz w:val="22"/>
          <w:szCs w:val="22"/>
        </w:rPr>
        <w:t xml:space="preserve"> subject to Vietnamese PIT on </w:t>
      </w:r>
      <w:r>
        <w:rPr>
          <w:sz w:val="22"/>
          <w:szCs w:val="22"/>
        </w:rPr>
        <w:t>his or her</w:t>
      </w:r>
      <w:r w:rsidR="003E4F6C" w:rsidRPr="003E4F6C">
        <w:rPr>
          <w:sz w:val="22"/>
          <w:szCs w:val="22"/>
        </w:rPr>
        <w:t xml:space="preserve"> worldwide taxable income, wherever it is paid or received. Employment income is taxed on a progressive tax rates basis. Non-employment income is taxed at a variety of different rates</w:t>
      </w:r>
      <w:r>
        <w:rPr>
          <w:sz w:val="22"/>
          <w:szCs w:val="22"/>
        </w:rPr>
        <w:t xml:space="preserve"> (</w:t>
      </w:r>
      <w:r w:rsidRPr="00596CB7">
        <w:rPr>
          <w:i/>
          <w:sz w:val="22"/>
          <w:szCs w:val="22"/>
        </w:rPr>
        <w:t xml:space="preserve">see the </w:t>
      </w:r>
      <w:r>
        <w:rPr>
          <w:i/>
          <w:sz w:val="22"/>
          <w:szCs w:val="22"/>
        </w:rPr>
        <w:t>summary</w:t>
      </w:r>
      <w:r w:rsidRPr="00596CB7">
        <w:rPr>
          <w:i/>
          <w:sz w:val="22"/>
          <w:szCs w:val="22"/>
        </w:rPr>
        <w:t xml:space="preserve"> below</w:t>
      </w:r>
      <w:r>
        <w:rPr>
          <w:sz w:val="22"/>
          <w:szCs w:val="22"/>
        </w:rPr>
        <w:t>)</w:t>
      </w:r>
      <w:r w:rsidR="003E4F6C" w:rsidRPr="003E4F6C">
        <w:rPr>
          <w:sz w:val="22"/>
          <w:szCs w:val="22"/>
        </w:rPr>
        <w:t>.</w:t>
      </w:r>
    </w:p>
    <w:p w14:paraId="32EFB7C6" w14:textId="77777777" w:rsidR="003E4F6C" w:rsidRPr="009513FE" w:rsidRDefault="003E4F6C" w:rsidP="009513FE">
      <w:pPr>
        <w:contextualSpacing/>
        <w:jc w:val="both"/>
        <w:rPr>
          <w:sz w:val="22"/>
          <w:szCs w:val="22"/>
        </w:rPr>
      </w:pPr>
    </w:p>
    <w:p w14:paraId="397119F4" w14:textId="3D989D45" w:rsidR="003E4F6C" w:rsidRDefault="00596CB7" w:rsidP="009513FE">
      <w:pPr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D9288B">
        <w:rPr>
          <w:sz w:val="22"/>
          <w:szCs w:val="22"/>
        </w:rPr>
        <w:t>n</w:t>
      </w:r>
      <w:r w:rsidR="00D9288B" w:rsidRPr="003E4F6C">
        <w:rPr>
          <w:sz w:val="22"/>
          <w:szCs w:val="22"/>
        </w:rPr>
        <w:t>on-resident</w:t>
      </w:r>
      <w:r w:rsidR="003E4F6C" w:rsidRPr="003E4F6C">
        <w:rPr>
          <w:sz w:val="22"/>
          <w:szCs w:val="22"/>
        </w:rPr>
        <w:t xml:space="preserve"> </w:t>
      </w:r>
      <w:r>
        <w:rPr>
          <w:sz w:val="22"/>
          <w:szCs w:val="22"/>
        </w:rPr>
        <w:t>is</w:t>
      </w:r>
      <w:r w:rsidR="003E4F6C" w:rsidRPr="003E4F6C">
        <w:rPr>
          <w:sz w:val="22"/>
          <w:szCs w:val="22"/>
        </w:rPr>
        <w:t xml:space="preserve"> subject to PIT at a flat tax rate on the income received </w:t>
      </w:r>
      <w:r>
        <w:rPr>
          <w:sz w:val="22"/>
          <w:szCs w:val="22"/>
        </w:rPr>
        <w:t>from</w:t>
      </w:r>
      <w:r w:rsidR="003E4F6C" w:rsidRPr="003E4F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his or her </w:t>
      </w:r>
      <w:r w:rsidR="003E4F6C" w:rsidRPr="003E4F6C">
        <w:rPr>
          <w:sz w:val="22"/>
          <w:szCs w:val="22"/>
        </w:rPr>
        <w:t>working in Vietnam</w:t>
      </w:r>
      <w:r>
        <w:rPr>
          <w:sz w:val="22"/>
          <w:szCs w:val="22"/>
        </w:rPr>
        <w:t xml:space="preserve"> or </w:t>
      </w:r>
      <w:r w:rsidR="003E4F6C" w:rsidRPr="003E4F6C">
        <w:rPr>
          <w:sz w:val="22"/>
          <w:szCs w:val="22"/>
        </w:rPr>
        <w:t xml:space="preserve">on </w:t>
      </w:r>
      <w:r>
        <w:rPr>
          <w:sz w:val="22"/>
          <w:szCs w:val="22"/>
        </w:rPr>
        <w:t xml:space="preserve">his or her </w:t>
      </w:r>
      <w:r w:rsidR="003E4F6C" w:rsidRPr="003E4F6C">
        <w:rPr>
          <w:sz w:val="22"/>
          <w:szCs w:val="22"/>
        </w:rPr>
        <w:t xml:space="preserve">Vietnam-related income in the tax year, and at various other rates on </w:t>
      </w:r>
      <w:r>
        <w:rPr>
          <w:sz w:val="22"/>
          <w:szCs w:val="22"/>
        </w:rPr>
        <w:t>his or her</w:t>
      </w:r>
      <w:r w:rsidR="003E4F6C" w:rsidRPr="003E4F6C">
        <w:rPr>
          <w:sz w:val="22"/>
          <w:szCs w:val="22"/>
        </w:rPr>
        <w:t xml:space="preserve"> </w:t>
      </w:r>
      <w:r w:rsidR="003E4F6C" w:rsidRPr="003E4F6C">
        <w:rPr>
          <w:sz w:val="22"/>
          <w:szCs w:val="22"/>
        </w:rPr>
        <w:lastRenderedPageBreak/>
        <w:t xml:space="preserve">non-employment income. However, this </w:t>
      </w:r>
      <w:r w:rsidR="0056345A">
        <w:rPr>
          <w:sz w:val="22"/>
          <w:szCs w:val="22"/>
        </w:rPr>
        <w:t>should also</w:t>
      </w:r>
      <w:r w:rsidR="003E4F6C" w:rsidRPr="003E4F6C">
        <w:rPr>
          <w:sz w:val="22"/>
          <w:szCs w:val="22"/>
        </w:rPr>
        <w:t xml:space="preserve"> considered </w:t>
      </w:r>
      <w:r w:rsidR="0056345A">
        <w:rPr>
          <w:sz w:val="22"/>
          <w:szCs w:val="22"/>
        </w:rPr>
        <w:t>along with the</w:t>
      </w:r>
      <w:r>
        <w:rPr>
          <w:sz w:val="22"/>
          <w:szCs w:val="22"/>
        </w:rPr>
        <w:t xml:space="preserve"> relevant applicable</w:t>
      </w:r>
      <w:r w:rsidR="009513FE" w:rsidRPr="009513FE">
        <w:rPr>
          <w:sz w:val="22"/>
          <w:szCs w:val="22"/>
        </w:rPr>
        <w:t xml:space="preserve"> double taxation </w:t>
      </w:r>
      <w:r w:rsidR="0056345A">
        <w:rPr>
          <w:sz w:val="22"/>
          <w:szCs w:val="22"/>
        </w:rPr>
        <w:t>treaty</w:t>
      </w:r>
      <w:r w:rsidR="003E4F6C" w:rsidRPr="003E4F6C">
        <w:rPr>
          <w:sz w:val="22"/>
          <w:szCs w:val="22"/>
        </w:rPr>
        <w:t>.</w:t>
      </w:r>
    </w:p>
    <w:p w14:paraId="30DC2F66" w14:textId="024C4CB7" w:rsidR="00596CB7" w:rsidRPr="00596CB7" w:rsidRDefault="00596CB7" w:rsidP="009513FE">
      <w:pPr>
        <w:shd w:val="clear" w:color="auto" w:fill="FFFFFF"/>
        <w:spacing w:before="100" w:beforeAutospacing="1" w:after="100" w:afterAutospacing="1"/>
        <w:jc w:val="both"/>
        <w:outlineLvl w:val="2"/>
        <w:rPr>
          <w:rFonts w:eastAsia="Times New Roman"/>
          <w:b/>
          <w:bCs/>
          <w:color w:val="464646"/>
          <w:sz w:val="22"/>
          <w:szCs w:val="22"/>
          <w:lang w:val="en-US" w:eastAsia="en-US"/>
        </w:rPr>
      </w:pPr>
      <w:r w:rsidRPr="00596CB7">
        <w:rPr>
          <w:rFonts w:eastAsia="Times New Roman"/>
          <w:b/>
          <w:bCs/>
          <w:color w:val="464646"/>
          <w:sz w:val="22"/>
          <w:szCs w:val="22"/>
          <w:lang w:val="en-US" w:eastAsia="en-US"/>
        </w:rPr>
        <w:t xml:space="preserve">Summary of </w:t>
      </w:r>
      <w:r w:rsidR="00756514">
        <w:rPr>
          <w:rFonts w:eastAsia="Times New Roman"/>
          <w:b/>
          <w:bCs/>
          <w:color w:val="464646"/>
          <w:sz w:val="22"/>
          <w:szCs w:val="22"/>
          <w:lang w:val="en-US" w:eastAsia="en-US"/>
        </w:rPr>
        <w:t xml:space="preserve">Relevant </w:t>
      </w:r>
      <w:r w:rsidRPr="00596CB7">
        <w:rPr>
          <w:rFonts w:eastAsia="Times New Roman"/>
          <w:b/>
          <w:bCs/>
          <w:color w:val="464646"/>
          <w:sz w:val="22"/>
          <w:szCs w:val="22"/>
          <w:lang w:val="en-US" w:eastAsia="en-US"/>
        </w:rPr>
        <w:t>Tax Rates</w:t>
      </w:r>
    </w:p>
    <w:p w14:paraId="379992C1" w14:textId="77777777" w:rsidR="009513FE" w:rsidRPr="009513FE" w:rsidRDefault="009513FE" w:rsidP="009513FE">
      <w:pPr>
        <w:shd w:val="clear" w:color="auto" w:fill="FFFFFF"/>
        <w:spacing w:before="100" w:beforeAutospacing="1" w:after="100" w:afterAutospacing="1"/>
        <w:jc w:val="both"/>
        <w:outlineLvl w:val="2"/>
        <w:rPr>
          <w:rFonts w:eastAsia="Times New Roman"/>
          <w:bCs/>
          <w:color w:val="464646"/>
          <w:sz w:val="22"/>
          <w:szCs w:val="22"/>
          <w:u w:val="single"/>
          <w:lang w:val="en-US" w:eastAsia="en-US"/>
        </w:rPr>
      </w:pPr>
      <w:r w:rsidRPr="009513FE">
        <w:rPr>
          <w:rFonts w:eastAsia="Times New Roman"/>
          <w:bCs/>
          <w:color w:val="464646"/>
          <w:sz w:val="22"/>
          <w:szCs w:val="22"/>
          <w:u w:val="single"/>
          <w:lang w:val="en-US" w:eastAsia="en-US"/>
        </w:rPr>
        <w:t>Tax residents: Employment income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2"/>
        <w:gridCol w:w="2694"/>
        <w:gridCol w:w="2694"/>
      </w:tblGrid>
      <w:tr w:rsidR="009513FE" w:rsidRPr="009513FE" w14:paraId="43333840" w14:textId="77777777" w:rsidTr="009513FE"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99FB727" w14:textId="77777777" w:rsidR="009513FE" w:rsidRPr="009513FE" w:rsidRDefault="009513FE" w:rsidP="009513FE">
            <w:pPr>
              <w:jc w:val="both"/>
              <w:rPr>
                <w:rFonts w:eastAsia="Times New Roman"/>
                <w:b/>
                <w:bCs/>
                <w:color w:val="2D2D2D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b/>
                <w:bCs/>
                <w:color w:val="2D2D2D"/>
                <w:sz w:val="22"/>
                <w:szCs w:val="22"/>
                <w:lang w:val="en-US" w:eastAsia="en-US"/>
              </w:rPr>
              <w:t>Annual taxable income (million VND)</w:t>
            </w:r>
          </w:p>
        </w:tc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42201F" w14:textId="77777777" w:rsidR="009513FE" w:rsidRPr="009513FE" w:rsidRDefault="009513FE" w:rsidP="009513FE">
            <w:pPr>
              <w:jc w:val="both"/>
              <w:rPr>
                <w:rFonts w:eastAsia="Times New Roman"/>
                <w:b/>
                <w:bCs/>
                <w:color w:val="2D2D2D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b/>
                <w:bCs/>
                <w:color w:val="2D2D2D"/>
                <w:sz w:val="22"/>
                <w:szCs w:val="22"/>
                <w:lang w:val="en-US" w:eastAsia="en-US"/>
              </w:rPr>
              <w:t>Monthly taxable income (million VND)</w:t>
            </w:r>
          </w:p>
        </w:tc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6D70DA4" w14:textId="77777777" w:rsidR="009513FE" w:rsidRPr="009513FE" w:rsidRDefault="009513FE" w:rsidP="009513FE">
            <w:pPr>
              <w:jc w:val="both"/>
              <w:rPr>
                <w:rFonts w:eastAsia="Times New Roman"/>
                <w:b/>
                <w:bCs/>
                <w:color w:val="2D2D2D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b/>
                <w:bCs/>
                <w:color w:val="2D2D2D"/>
                <w:sz w:val="22"/>
                <w:szCs w:val="22"/>
                <w:lang w:val="en-US" w:eastAsia="en-US"/>
              </w:rPr>
              <w:t>PIT rate (%)</w:t>
            </w:r>
          </w:p>
        </w:tc>
      </w:tr>
      <w:tr w:rsidR="009513FE" w:rsidRPr="009513FE" w14:paraId="45F3F2E0" w14:textId="77777777" w:rsidTr="009513FE">
        <w:tc>
          <w:tcPr>
            <w:tcW w:w="19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01C9C4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0 to 60</w:t>
            </w:r>
          </w:p>
        </w:tc>
        <w:tc>
          <w:tcPr>
            <w:tcW w:w="14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2A627DE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0 to 5</w:t>
            </w:r>
          </w:p>
        </w:tc>
        <w:tc>
          <w:tcPr>
            <w:tcW w:w="14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B5423F2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5</w:t>
            </w:r>
          </w:p>
        </w:tc>
      </w:tr>
      <w:tr w:rsidR="009513FE" w:rsidRPr="009513FE" w14:paraId="5030D9C0" w14:textId="77777777" w:rsidTr="009513FE">
        <w:tc>
          <w:tcPr>
            <w:tcW w:w="19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AB94DCC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60 to 120</w:t>
            </w:r>
          </w:p>
        </w:tc>
        <w:tc>
          <w:tcPr>
            <w:tcW w:w="14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1EA5D74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5 to 10</w:t>
            </w:r>
          </w:p>
        </w:tc>
        <w:tc>
          <w:tcPr>
            <w:tcW w:w="14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7101CE2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10</w:t>
            </w:r>
          </w:p>
        </w:tc>
      </w:tr>
      <w:tr w:rsidR="009513FE" w:rsidRPr="009513FE" w14:paraId="4D24D323" w14:textId="77777777" w:rsidTr="009513FE">
        <w:tc>
          <w:tcPr>
            <w:tcW w:w="19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1E77CF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120 to 216</w:t>
            </w:r>
          </w:p>
        </w:tc>
        <w:tc>
          <w:tcPr>
            <w:tcW w:w="14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4E730F8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10 to 18</w:t>
            </w:r>
          </w:p>
        </w:tc>
        <w:tc>
          <w:tcPr>
            <w:tcW w:w="14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44E5BCF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15</w:t>
            </w:r>
          </w:p>
        </w:tc>
      </w:tr>
      <w:tr w:rsidR="009513FE" w:rsidRPr="009513FE" w14:paraId="61F2A564" w14:textId="77777777" w:rsidTr="009513FE">
        <w:tc>
          <w:tcPr>
            <w:tcW w:w="19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8C4D5BC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216 to 384</w:t>
            </w:r>
          </w:p>
        </w:tc>
        <w:tc>
          <w:tcPr>
            <w:tcW w:w="14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24855FA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18 to 32</w:t>
            </w:r>
          </w:p>
        </w:tc>
        <w:tc>
          <w:tcPr>
            <w:tcW w:w="14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C173901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20</w:t>
            </w:r>
          </w:p>
        </w:tc>
      </w:tr>
      <w:tr w:rsidR="009513FE" w:rsidRPr="009513FE" w14:paraId="6850A74A" w14:textId="77777777" w:rsidTr="009513FE">
        <w:tc>
          <w:tcPr>
            <w:tcW w:w="19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4BFD8DA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384 to 624</w:t>
            </w:r>
          </w:p>
        </w:tc>
        <w:tc>
          <w:tcPr>
            <w:tcW w:w="14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EEEEFC6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32 to 52</w:t>
            </w:r>
          </w:p>
        </w:tc>
        <w:tc>
          <w:tcPr>
            <w:tcW w:w="14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F714AD4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25</w:t>
            </w:r>
          </w:p>
        </w:tc>
      </w:tr>
      <w:tr w:rsidR="009513FE" w:rsidRPr="009513FE" w14:paraId="071AF288" w14:textId="77777777" w:rsidTr="009513FE">
        <w:tc>
          <w:tcPr>
            <w:tcW w:w="19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92EC0E2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624 to 960</w:t>
            </w:r>
          </w:p>
        </w:tc>
        <w:tc>
          <w:tcPr>
            <w:tcW w:w="14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1AA99BD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52 to 80</w:t>
            </w:r>
          </w:p>
        </w:tc>
        <w:tc>
          <w:tcPr>
            <w:tcW w:w="14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8D8900C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30</w:t>
            </w:r>
          </w:p>
        </w:tc>
      </w:tr>
      <w:tr w:rsidR="009513FE" w:rsidRPr="009513FE" w14:paraId="297C9A41" w14:textId="77777777" w:rsidTr="009513FE">
        <w:tc>
          <w:tcPr>
            <w:tcW w:w="19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FD6FA8A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More than 960</w:t>
            </w:r>
          </w:p>
        </w:tc>
        <w:tc>
          <w:tcPr>
            <w:tcW w:w="14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5563D46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More than 80</w:t>
            </w:r>
          </w:p>
        </w:tc>
        <w:tc>
          <w:tcPr>
            <w:tcW w:w="14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387988A9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35</w:t>
            </w:r>
          </w:p>
        </w:tc>
      </w:tr>
    </w:tbl>
    <w:p w14:paraId="2C3687CE" w14:textId="77777777" w:rsidR="009513FE" w:rsidRPr="009513FE" w:rsidRDefault="009513FE" w:rsidP="009513FE">
      <w:pPr>
        <w:shd w:val="clear" w:color="auto" w:fill="FFFFFF"/>
        <w:spacing w:before="100" w:beforeAutospacing="1" w:after="100" w:afterAutospacing="1"/>
        <w:jc w:val="both"/>
        <w:outlineLvl w:val="2"/>
        <w:rPr>
          <w:rFonts w:eastAsia="Times New Roman"/>
          <w:bCs/>
          <w:color w:val="464646"/>
          <w:sz w:val="22"/>
          <w:szCs w:val="22"/>
          <w:u w:val="single"/>
          <w:lang w:val="en-US" w:eastAsia="en-US"/>
        </w:rPr>
      </w:pPr>
      <w:r w:rsidRPr="009513FE">
        <w:rPr>
          <w:rFonts w:eastAsia="Times New Roman"/>
          <w:bCs/>
          <w:color w:val="464646"/>
          <w:sz w:val="22"/>
          <w:szCs w:val="22"/>
          <w:u w:val="single"/>
          <w:lang w:val="en-US" w:eastAsia="en-US"/>
        </w:rPr>
        <w:t>Tax residents: Non-employment income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3"/>
        <w:gridCol w:w="2667"/>
      </w:tblGrid>
      <w:tr w:rsidR="009513FE" w:rsidRPr="009513FE" w14:paraId="40ADA668" w14:textId="77777777" w:rsidTr="009513FE"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304BBA8" w14:textId="77777777" w:rsidR="009513FE" w:rsidRPr="009513FE" w:rsidRDefault="009513FE" w:rsidP="009513FE">
            <w:pPr>
              <w:jc w:val="both"/>
              <w:rPr>
                <w:rFonts w:eastAsia="Times New Roman"/>
                <w:b/>
                <w:bCs/>
                <w:color w:val="2D2D2D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b/>
                <w:bCs/>
                <w:color w:val="2D2D2D"/>
                <w:sz w:val="22"/>
                <w:szCs w:val="22"/>
                <w:lang w:val="en-US" w:eastAsia="en-US"/>
              </w:rPr>
              <w:t>Type of taxable income</w:t>
            </w:r>
          </w:p>
        </w:tc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7A0035C" w14:textId="77777777" w:rsidR="009513FE" w:rsidRPr="009513FE" w:rsidRDefault="009513FE" w:rsidP="009513FE">
            <w:pPr>
              <w:jc w:val="both"/>
              <w:rPr>
                <w:rFonts w:eastAsia="Times New Roman"/>
                <w:b/>
                <w:bCs/>
                <w:color w:val="2D2D2D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b/>
                <w:bCs/>
                <w:color w:val="2D2D2D"/>
                <w:sz w:val="22"/>
                <w:szCs w:val="22"/>
                <w:lang w:val="en-US" w:eastAsia="en-US"/>
              </w:rPr>
              <w:t>Tax rate (%)</w:t>
            </w:r>
          </w:p>
        </w:tc>
      </w:tr>
      <w:tr w:rsidR="009513FE" w:rsidRPr="009513FE" w14:paraId="1250312E" w14:textId="77777777" w:rsidTr="009513FE">
        <w:tc>
          <w:tcPr>
            <w:tcW w:w="34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60D5B048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Business income</w:t>
            </w:r>
          </w:p>
        </w:tc>
        <w:tc>
          <w:tcPr>
            <w:tcW w:w="14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D8A575" w14:textId="5A28527D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0.5 to 5 (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>subject</w:t>
            </w: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 xml:space="preserve"> on the type of business income)</w:t>
            </w:r>
          </w:p>
        </w:tc>
      </w:tr>
      <w:tr w:rsidR="009513FE" w:rsidRPr="009513FE" w14:paraId="662DFC01" w14:textId="77777777" w:rsidTr="009513FE">
        <w:tc>
          <w:tcPr>
            <w:tcW w:w="34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97B639E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Interest (but not bank interest)/dividends</w:t>
            </w:r>
          </w:p>
        </w:tc>
        <w:tc>
          <w:tcPr>
            <w:tcW w:w="14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DA96253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5</w:t>
            </w:r>
          </w:p>
        </w:tc>
      </w:tr>
      <w:tr w:rsidR="009513FE" w:rsidRPr="009513FE" w14:paraId="19B8BD7F" w14:textId="77777777" w:rsidTr="009513FE">
        <w:tc>
          <w:tcPr>
            <w:tcW w:w="34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299F8A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Sale of shares</w:t>
            </w:r>
          </w:p>
        </w:tc>
        <w:tc>
          <w:tcPr>
            <w:tcW w:w="14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0DA1733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0.1 (of sales proceeds)</w:t>
            </w:r>
          </w:p>
        </w:tc>
      </w:tr>
      <w:tr w:rsidR="009513FE" w:rsidRPr="009513FE" w14:paraId="06305F03" w14:textId="77777777" w:rsidTr="009513FE">
        <w:tc>
          <w:tcPr>
            <w:tcW w:w="34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F4A6CEE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Capital assignment</w:t>
            </w:r>
          </w:p>
        </w:tc>
        <w:tc>
          <w:tcPr>
            <w:tcW w:w="14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541BE5A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20 (on net gain)</w:t>
            </w:r>
          </w:p>
        </w:tc>
      </w:tr>
      <w:tr w:rsidR="009513FE" w:rsidRPr="009513FE" w14:paraId="5B2B68F7" w14:textId="77777777" w:rsidTr="009513FE">
        <w:tc>
          <w:tcPr>
            <w:tcW w:w="34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B9A12D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Sale of real estate</w:t>
            </w:r>
          </w:p>
        </w:tc>
        <w:tc>
          <w:tcPr>
            <w:tcW w:w="14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468FFD5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2 (of sales proceeds)</w:t>
            </w:r>
          </w:p>
        </w:tc>
      </w:tr>
      <w:tr w:rsidR="009513FE" w:rsidRPr="009513FE" w14:paraId="2E9526B9" w14:textId="77777777" w:rsidTr="009513FE">
        <w:tc>
          <w:tcPr>
            <w:tcW w:w="34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B66BCB9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Income from franchising/royalties</w:t>
            </w:r>
          </w:p>
        </w:tc>
        <w:tc>
          <w:tcPr>
            <w:tcW w:w="14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F62DBC0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5</w:t>
            </w:r>
          </w:p>
        </w:tc>
      </w:tr>
      <w:tr w:rsidR="009513FE" w:rsidRPr="009513FE" w14:paraId="6BA53742" w14:textId="77777777" w:rsidTr="009513FE">
        <w:tc>
          <w:tcPr>
            <w:tcW w:w="34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FB561C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Income from inheritances/gifts/winning prizes (excluding income from casino winning prizes)</w:t>
            </w:r>
          </w:p>
        </w:tc>
        <w:tc>
          <w:tcPr>
            <w:tcW w:w="14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7232DEB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10</w:t>
            </w:r>
          </w:p>
        </w:tc>
      </w:tr>
    </w:tbl>
    <w:p w14:paraId="0F2C5EBB" w14:textId="77777777" w:rsidR="00756514" w:rsidRDefault="00756514" w:rsidP="009513FE">
      <w:pPr>
        <w:shd w:val="clear" w:color="auto" w:fill="FFFFFF"/>
        <w:spacing w:before="100" w:beforeAutospacing="1" w:after="100" w:afterAutospacing="1"/>
        <w:jc w:val="both"/>
        <w:outlineLvl w:val="2"/>
        <w:rPr>
          <w:rFonts w:eastAsia="Times New Roman"/>
          <w:bCs/>
          <w:color w:val="464646"/>
          <w:sz w:val="22"/>
          <w:szCs w:val="22"/>
          <w:u w:val="single"/>
          <w:lang w:val="en-US" w:eastAsia="en-US"/>
        </w:rPr>
      </w:pPr>
    </w:p>
    <w:p w14:paraId="2107F10E" w14:textId="72E7349B" w:rsidR="009513FE" w:rsidRDefault="00756514" w:rsidP="006D336C">
      <w:pPr>
        <w:rPr>
          <w:rFonts w:eastAsia="Times New Roman"/>
          <w:bCs/>
          <w:color w:val="464646"/>
          <w:sz w:val="22"/>
          <w:szCs w:val="22"/>
          <w:u w:val="single"/>
          <w:lang w:val="en-US" w:eastAsia="en-US"/>
        </w:rPr>
      </w:pPr>
      <w:r>
        <w:rPr>
          <w:rFonts w:eastAsia="Times New Roman"/>
          <w:bCs/>
          <w:color w:val="464646"/>
          <w:sz w:val="22"/>
          <w:szCs w:val="22"/>
          <w:u w:val="single"/>
          <w:lang w:val="en-US" w:eastAsia="en-US"/>
        </w:rPr>
        <w:br w:type="page"/>
      </w:r>
      <w:r w:rsidR="009513FE" w:rsidRPr="009513FE">
        <w:rPr>
          <w:rFonts w:eastAsia="Times New Roman"/>
          <w:bCs/>
          <w:color w:val="464646"/>
          <w:sz w:val="22"/>
          <w:szCs w:val="22"/>
          <w:u w:val="single"/>
          <w:lang w:val="en-US" w:eastAsia="en-US"/>
        </w:rPr>
        <w:lastRenderedPageBreak/>
        <w:t>Tax non-residents</w:t>
      </w:r>
    </w:p>
    <w:p w14:paraId="2ADA17B2" w14:textId="77777777" w:rsidR="006D336C" w:rsidRPr="009513FE" w:rsidRDefault="006D336C" w:rsidP="006D336C">
      <w:pPr>
        <w:rPr>
          <w:rFonts w:eastAsia="Times New Roman"/>
          <w:bCs/>
          <w:color w:val="464646"/>
          <w:sz w:val="22"/>
          <w:szCs w:val="22"/>
          <w:u w:val="single"/>
          <w:lang w:val="en-US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43"/>
        <w:gridCol w:w="2667"/>
      </w:tblGrid>
      <w:tr w:rsidR="009513FE" w:rsidRPr="009513FE" w14:paraId="0C05AA2D" w14:textId="77777777" w:rsidTr="009513FE"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8B77AFB" w14:textId="77777777" w:rsidR="009513FE" w:rsidRPr="009513FE" w:rsidRDefault="009513FE" w:rsidP="009513FE">
            <w:pPr>
              <w:jc w:val="both"/>
              <w:rPr>
                <w:rFonts w:eastAsia="Times New Roman"/>
                <w:b/>
                <w:bCs/>
                <w:color w:val="2D2D2D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b/>
                <w:bCs/>
                <w:color w:val="2D2D2D"/>
                <w:sz w:val="22"/>
                <w:szCs w:val="22"/>
                <w:lang w:val="en-US" w:eastAsia="en-US"/>
              </w:rPr>
              <w:t>Type of taxable income</w:t>
            </w:r>
          </w:p>
        </w:tc>
        <w:tc>
          <w:tcPr>
            <w:tcW w:w="0" w:type="auto"/>
            <w:shd w:val="clear" w:color="auto" w:fill="F2F2F2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1F5C14E" w14:textId="77777777" w:rsidR="009513FE" w:rsidRPr="009513FE" w:rsidRDefault="009513FE" w:rsidP="009513FE">
            <w:pPr>
              <w:jc w:val="both"/>
              <w:rPr>
                <w:rFonts w:eastAsia="Times New Roman"/>
                <w:b/>
                <w:bCs/>
                <w:color w:val="2D2D2D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b/>
                <w:bCs/>
                <w:color w:val="2D2D2D"/>
                <w:sz w:val="22"/>
                <w:szCs w:val="22"/>
                <w:lang w:val="en-US" w:eastAsia="en-US"/>
              </w:rPr>
              <w:t>Tax rate (%)</w:t>
            </w:r>
          </w:p>
        </w:tc>
      </w:tr>
      <w:tr w:rsidR="009513FE" w:rsidRPr="009513FE" w14:paraId="66E82F96" w14:textId="77777777" w:rsidTr="009513FE">
        <w:tc>
          <w:tcPr>
            <w:tcW w:w="34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505E35D9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Employment income</w:t>
            </w:r>
          </w:p>
        </w:tc>
        <w:tc>
          <w:tcPr>
            <w:tcW w:w="14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94493D5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20</w:t>
            </w:r>
          </w:p>
        </w:tc>
      </w:tr>
      <w:tr w:rsidR="009513FE" w:rsidRPr="009513FE" w14:paraId="61D3F1F7" w14:textId="77777777" w:rsidTr="009513FE">
        <w:tc>
          <w:tcPr>
            <w:tcW w:w="34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4768C31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Business income</w:t>
            </w:r>
          </w:p>
        </w:tc>
        <w:tc>
          <w:tcPr>
            <w:tcW w:w="14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ED39ED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1 to 5 (based on the type of business income)</w:t>
            </w:r>
          </w:p>
        </w:tc>
      </w:tr>
      <w:tr w:rsidR="009513FE" w:rsidRPr="009513FE" w14:paraId="2235B95F" w14:textId="77777777" w:rsidTr="009513FE">
        <w:tc>
          <w:tcPr>
            <w:tcW w:w="34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1AF68BC5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Interest (but not bank interest)/dividends</w:t>
            </w:r>
          </w:p>
        </w:tc>
        <w:tc>
          <w:tcPr>
            <w:tcW w:w="14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F5CB26B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5</w:t>
            </w:r>
          </w:p>
        </w:tc>
      </w:tr>
      <w:tr w:rsidR="009513FE" w:rsidRPr="009513FE" w14:paraId="751A4DE5" w14:textId="77777777" w:rsidTr="009513FE">
        <w:tc>
          <w:tcPr>
            <w:tcW w:w="34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21526CA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Sale of shares/capital assignment</w:t>
            </w:r>
          </w:p>
        </w:tc>
        <w:tc>
          <w:tcPr>
            <w:tcW w:w="14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07DCC7B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0.1 (of sales proceeds)</w:t>
            </w:r>
          </w:p>
        </w:tc>
      </w:tr>
      <w:tr w:rsidR="009513FE" w:rsidRPr="009513FE" w14:paraId="3279849C" w14:textId="77777777" w:rsidTr="009513FE">
        <w:tc>
          <w:tcPr>
            <w:tcW w:w="34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D2B3869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Sale of real estate</w:t>
            </w:r>
          </w:p>
        </w:tc>
        <w:tc>
          <w:tcPr>
            <w:tcW w:w="14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4E1FBBEE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2 (of sales proceeds)</w:t>
            </w:r>
          </w:p>
        </w:tc>
      </w:tr>
      <w:tr w:rsidR="009513FE" w:rsidRPr="009513FE" w14:paraId="52F402F1" w14:textId="77777777" w:rsidTr="009513FE">
        <w:tc>
          <w:tcPr>
            <w:tcW w:w="34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AE124C4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Income from royalties/franchising</w:t>
            </w:r>
          </w:p>
        </w:tc>
        <w:tc>
          <w:tcPr>
            <w:tcW w:w="14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2A4C7A13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5</w:t>
            </w:r>
          </w:p>
        </w:tc>
      </w:tr>
      <w:tr w:rsidR="009513FE" w:rsidRPr="009513FE" w14:paraId="1A183E86" w14:textId="77777777" w:rsidTr="009513FE">
        <w:tc>
          <w:tcPr>
            <w:tcW w:w="34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7621C1CC" w14:textId="6275CDA3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Income from inheritances</w:t>
            </w:r>
            <w:r>
              <w:rPr>
                <w:rFonts w:eastAsia="Times New Roman"/>
                <w:sz w:val="22"/>
                <w:szCs w:val="22"/>
                <w:lang w:val="en-US" w:eastAsia="en-US"/>
              </w:rPr>
              <w:t>/gifts/winning prizes (exclusive of</w:t>
            </w: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 xml:space="preserve"> income from casino winning prizes)</w:t>
            </w:r>
          </w:p>
        </w:tc>
        <w:tc>
          <w:tcPr>
            <w:tcW w:w="1450" w:type="pct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14:paraId="08149EAE" w14:textId="77777777" w:rsidR="009513FE" w:rsidRPr="009513FE" w:rsidRDefault="009513FE" w:rsidP="009513FE">
            <w:pPr>
              <w:jc w:val="both"/>
              <w:rPr>
                <w:rFonts w:eastAsia="Times New Roman"/>
                <w:sz w:val="22"/>
                <w:szCs w:val="22"/>
                <w:lang w:val="en-US" w:eastAsia="en-US"/>
              </w:rPr>
            </w:pPr>
            <w:r w:rsidRPr="009513FE">
              <w:rPr>
                <w:rFonts w:eastAsia="Times New Roman"/>
                <w:sz w:val="22"/>
                <w:szCs w:val="22"/>
                <w:lang w:val="en-US" w:eastAsia="en-US"/>
              </w:rPr>
              <w:t>10</w:t>
            </w:r>
          </w:p>
        </w:tc>
      </w:tr>
    </w:tbl>
    <w:p w14:paraId="4F8CEEA6" w14:textId="77777777" w:rsidR="009513FE" w:rsidRPr="009513FE" w:rsidRDefault="009513FE" w:rsidP="009513FE">
      <w:pPr>
        <w:contextualSpacing/>
        <w:jc w:val="both"/>
        <w:rPr>
          <w:sz w:val="22"/>
          <w:szCs w:val="22"/>
        </w:rPr>
      </w:pPr>
    </w:p>
    <w:p w14:paraId="7D9FDE1F" w14:textId="695255D4" w:rsidR="003E4F6C" w:rsidRPr="009513FE" w:rsidRDefault="00155094" w:rsidP="009513FE">
      <w:pPr>
        <w:contextualSpacing/>
        <w:jc w:val="both"/>
        <w:rPr>
          <w:sz w:val="22"/>
          <w:szCs w:val="22"/>
        </w:rPr>
      </w:pPr>
      <w:r w:rsidRPr="009513FE">
        <w:rPr>
          <w:sz w:val="22"/>
          <w:szCs w:val="22"/>
        </w:rPr>
        <w:t>DN Legal</w:t>
      </w:r>
    </w:p>
    <w:p w14:paraId="6B1CB9C3" w14:textId="77777777" w:rsidR="00415BD9" w:rsidRDefault="009513FE" w:rsidP="009513FE">
      <w:pPr>
        <w:contextualSpacing/>
        <w:jc w:val="both"/>
        <w:rPr>
          <w:color w:val="10131A"/>
          <w:sz w:val="22"/>
          <w:szCs w:val="22"/>
        </w:rPr>
      </w:pPr>
      <w:r w:rsidRPr="009513FE">
        <w:rPr>
          <w:sz w:val="22"/>
          <w:szCs w:val="22"/>
        </w:rPr>
        <w:t>17</w:t>
      </w:r>
      <w:r w:rsidR="00B80991" w:rsidRPr="009513FE">
        <w:rPr>
          <w:sz w:val="22"/>
          <w:szCs w:val="22"/>
        </w:rPr>
        <w:t xml:space="preserve"> </w:t>
      </w:r>
      <w:r w:rsidR="00D75665" w:rsidRPr="009513FE">
        <w:rPr>
          <w:sz w:val="22"/>
          <w:szCs w:val="22"/>
        </w:rPr>
        <w:t>November</w:t>
      </w:r>
      <w:r w:rsidR="00155094" w:rsidRPr="009513FE">
        <w:rPr>
          <w:sz w:val="22"/>
          <w:szCs w:val="22"/>
        </w:rPr>
        <w:t xml:space="preserve"> 2020 </w:t>
      </w:r>
    </w:p>
    <w:p w14:paraId="4EA997F2" w14:textId="480F5338" w:rsidR="004315C7" w:rsidRPr="00415BD9" w:rsidRDefault="00415BD9" w:rsidP="009513FE">
      <w:pPr>
        <w:contextualSpacing/>
        <w:jc w:val="both"/>
        <w:rPr>
          <w:color w:val="10131A"/>
          <w:sz w:val="22"/>
          <w:szCs w:val="22"/>
        </w:rPr>
      </w:pPr>
      <w:hyperlink r:id="rId9" w:history="1">
        <w:r w:rsidRPr="006D3080">
          <w:rPr>
            <w:rStyle w:val="Hyperlink"/>
            <w:sz w:val="22"/>
            <w:szCs w:val="22"/>
          </w:rPr>
          <w:t>www.daonguyenlegal.com</w:t>
        </w:r>
      </w:hyperlink>
    </w:p>
    <w:sectPr w:rsidR="004315C7" w:rsidRPr="00415BD9" w:rsidSect="003E4F6C">
      <w:pgSz w:w="11900" w:h="16840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2BFA2" w14:textId="77777777" w:rsidR="00730454" w:rsidRDefault="00730454" w:rsidP="004B0034">
      <w:r>
        <w:separator/>
      </w:r>
    </w:p>
  </w:endnote>
  <w:endnote w:type="continuationSeparator" w:id="0">
    <w:p w14:paraId="5C685794" w14:textId="77777777" w:rsidR="00730454" w:rsidRDefault="00730454" w:rsidP="004B0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AE6CA" w14:textId="77777777" w:rsidR="00730454" w:rsidRDefault="00730454" w:rsidP="004B0034">
      <w:r>
        <w:separator/>
      </w:r>
    </w:p>
  </w:footnote>
  <w:footnote w:type="continuationSeparator" w:id="0">
    <w:p w14:paraId="33DFF942" w14:textId="77777777" w:rsidR="00730454" w:rsidRDefault="00730454" w:rsidP="004B0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6C35"/>
    <w:multiLevelType w:val="hybridMultilevel"/>
    <w:tmpl w:val="7FB2744E"/>
    <w:lvl w:ilvl="0" w:tplc="C27A45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2114"/>
    <w:multiLevelType w:val="hybridMultilevel"/>
    <w:tmpl w:val="00E2382A"/>
    <w:lvl w:ilvl="0" w:tplc="5784C3E0">
      <w:start w:val="1"/>
      <w:numFmt w:val="lowerLetter"/>
      <w:pStyle w:val="DNLegalDD7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592D97"/>
    <w:multiLevelType w:val="hybridMultilevel"/>
    <w:tmpl w:val="67A6C018"/>
    <w:lvl w:ilvl="0" w:tplc="BA7E2A04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197D2C"/>
    <w:multiLevelType w:val="hybridMultilevel"/>
    <w:tmpl w:val="A20C0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C26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9C2C43"/>
    <w:multiLevelType w:val="multilevel"/>
    <w:tmpl w:val="8B76C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270415"/>
    <w:multiLevelType w:val="hybridMultilevel"/>
    <w:tmpl w:val="7564DD20"/>
    <w:lvl w:ilvl="0" w:tplc="207EF5D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237A28"/>
    <w:multiLevelType w:val="hybridMultilevel"/>
    <w:tmpl w:val="26BC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0080B"/>
    <w:multiLevelType w:val="multilevel"/>
    <w:tmpl w:val="3E4EB638"/>
    <w:styleLink w:val="111111"/>
    <w:lvl w:ilvl="0">
      <w:start w:val="1"/>
      <w:numFmt w:val="decimal"/>
      <w:lvlText w:val="ARTICLE 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FE30337"/>
    <w:multiLevelType w:val="hybridMultilevel"/>
    <w:tmpl w:val="2BE676B6"/>
    <w:lvl w:ilvl="0" w:tplc="207EF5D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03554DE"/>
    <w:multiLevelType w:val="multilevel"/>
    <w:tmpl w:val="39A0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7E0D0E"/>
    <w:multiLevelType w:val="hybridMultilevel"/>
    <w:tmpl w:val="117E7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44B0C"/>
    <w:multiLevelType w:val="multilevel"/>
    <w:tmpl w:val="7E587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366973"/>
    <w:multiLevelType w:val="hybridMultilevel"/>
    <w:tmpl w:val="78F835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1CA1D2C"/>
    <w:multiLevelType w:val="hybridMultilevel"/>
    <w:tmpl w:val="E4E23D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D5CC5"/>
    <w:multiLevelType w:val="hybridMultilevel"/>
    <w:tmpl w:val="DA0EDFF8"/>
    <w:lvl w:ilvl="0" w:tplc="CE3EC45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13"/>
  </w:num>
  <w:num w:numId="7">
    <w:abstractNumId w:val="2"/>
  </w:num>
  <w:num w:numId="8">
    <w:abstractNumId w:val="0"/>
  </w:num>
  <w:num w:numId="9">
    <w:abstractNumId w:val="9"/>
  </w:num>
  <w:num w:numId="10">
    <w:abstractNumId w:val="15"/>
  </w:num>
  <w:num w:numId="11">
    <w:abstractNumId w:val="7"/>
  </w:num>
  <w:num w:numId="12">
    <w:abstractNumId w:val="11"/>
  </w:num>
  <w:num w:numId="13">
    <w:abstractNumId w:val="14"/>
  </w:num>
  <w:num w:numId="14">
    <w:abstractNumId w:val="12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4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0D4"/>
    <w:rsid w:val="00073976"/>
    <w:rsid w:val="000756F0"/>
    <w:rsid w:val="00090A8F"/>
    <w:rsid w:val="00090D03"/>
    <w:rsid w:val="000A0FA7"/>
    <w:rsid w:val="000B204D"/>
    <w:rsid w:val="001150D4"/>
    <w:rsid w:val="00147CCD"/>
    <w:rsid w:val="00155094"/>
    <w:rsid w:val="00166F1E"/>
    <w:rsid w:val="00166FEE"/>
    <w:rsid w:val="00170F82"/>
    <w:rsid w:val="001A5687"/>
    <w:rsid w:val="001E2256"/>
    <w:rsid w:val="001E7AD9"/>
    <w:rsid w:val="001F746A"/>
    <w:rsid w:val="0021359D"/>
    <w:rsid w:val="0023607F"/>
    <w:rsid w:val="0027443D"/>
    <w:rsid w:val="002D09D5"/>
    <w:rsid w:val="002E08C6"/>
    <w:rsid w:val="003A1A17"/>
    <w:rsid w:val="003B450E"/>
    <w:rsid w:val="003E4F6C"/>
    <w:rsid w:val="00415BD9"/>
    <w:rsid w:val="004249E6"/>
    <w:rsid w:val="004315C7"/>
    <w:rsid w:val="0047106E"/>
    <w:rsid w:val="00473876"/>
    <w:rsid w:val="004934F6"/>
    <w:rsid w:val="00496D57"/>
    <w:rsid w:val="004B0034"/>
    <w:rsid w:val="004C1117"/>
    <w:rsid w:val="004E42E6"/>
    <w:rsid w:val="004F041E"/>
    <w:rsid w:val="004F4C48"/>
    <w:rsid w:val="0056345A"/>
    <w:rsid w:val="00576292"/>
    <w:rsid w:val="00596CB7"/>
    <w:rsid w:val="005A2EC9"/>
    <w:rsid w:val="005D3FCD"/>
    <w:rsid w:val="00601B6B"/>
    <w:rsid w:val="00611199"/>
    <w:rsid w:val="006429BB"/>
    <w:rsid w:val="006543F9"/>
    <w:rsid w:val="006D336C"/>
    <w:rsid w:val="006F102F"/>
    <w:rsid w:val="006F1255"/>
    <w:rsid w:val="00707B27"/>
    <w:rsid w:val="0072729E"/>
    <w:rsid w:val="00730454"/>
    <w:rsid w:val="00756514"/>
    <w:rsid w:val="00762BA0"/>
    <w:rsid w:val="00772E5E"/>
    <w:rsid w:val="007A5E14"/>
    <w:rsid w:val="007B7EE0"/>
    <w:rsid w:val="007E129D"/>
    <w:rsid w:val="00804086"/>
    <w:rsid w:val="00821F58"/>
    <w:rsid w:val="00920FB3"/>
    <w:rsid w:val="009513FE"/>
    <w:rsid w:val="00951671"/>
    <w:rsid w:val="00983D49"/>
    <w:rsid w:val="00A41B3B"/>
    <w:rsid w:val="00AA2D7D"/>
    <w:rsid w:val="00AB33D9"/>
    <w:rsid w:val="00AE3CC5"/>
    <w:rsid w:val="00B70F98"/>
    <w:rsid w:val="00B7106E"/>
    <w:rsid w:val="00B80991"/>
    <w:rsid w:val="00BB1C5B"/>
    <w:rsid w:val="00BB3BA8"/>
    <w:rsid w:val="00BB555C"/>
    <w:rsid w:val="00BC1C70"/>
    <w:rsid w:val="00BE12D2"/>
    <w:rsid w:val="00C021B5"/>
    <w:rsid w:val="00C04675"/>
    <w:rsid w:val="00C4368A"/>
    <w:rsid w:val="00D12BE0"/>
    <w:rsid w:val="00D451A5"/>
    <w:rsid w:val="00D663F0"/>
    <w:rsid w:val="00D75665"/>
    <w:rsid w:val="00D9288B"/>
    <w:rsid w:val="00D9350F"/>
    <w:rsid w:val="00DB2150"/>
    <w:rsid w:val="00DD2635"/>
    <w:rsid w:val="00DE4A95"/>
    <w:rsid w:val="00E16406"/>
    <w:rsid w:val="00E33449"/>
    <w:rsid w:val="00E36FFC"/>
    <w:rsid w:val="00E46DA5"/>
    <w:rsid w:val="00E82644"/>
    <w:rsid w:val="00E958CB"/>
    <w:rsid w:val="00E95A28"/>
    <w:rsid w:val="00EB4D3C"/>
    <w:rsid w:val="00F06554"/>
    <w:rsid w:val="00FD50BB"/>
    <w:rsid w:val="00FD787C"/>
    <w:rsid w:val="00FE1E25"/>
    <w:rsid w:val="00FF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2EF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E25"/>
    <w:rPr>
      <w:rFonts w:ascii="Times New Roman" w:hAnsi="Times New Roman" w:cs="Times New Roman"/>
      <w:szCs w:val="24"/>
      <w:lang w:val="en-GB"/>
    </w:rPr>
  </w:style>
  <w:style w:type="paragraph" w:styleId="Heading3">
    <w:name w:val="heading 3"/>
    <w:basedOn w:val="Normal"/>
    <w:link w:val="Heading3Char"/>
    <w:uiPriority w:val="9"/>
    <w:qFormat/>
    <w:rsid w:val="009513FE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aliases w:val="DN1"/>
    <w:basedOn w:val="Normal"/>
    <w:link w:val="DocumentMapChar"/>
    <w:rsid w:val="000A0FA7"/>
    <w:pPr>
      <w:shd w:val="clear" w:color="auto" w:fill="000080"/>
      <w:spacing w:before="240" w:after="240" w:line="260" w:lineRule="exact"/>
    </w:pPr>
    <w:rPr>
      <w:rFonts w:ascii="Tahoma" w:eastAsia="SimSun" w:hAnsi="Tahoma"/>
      <w:sz w:val="20"/>
      <w:szCs w:val="20"/>
      <w:lang w:val="x-none" w:eastAsia="x-none"/>
    </w:rPr>
  </w:style>
  <w:style w:type="character" w:customStyle="1" w:styleId="DocumentMapChar">
    <w:name w:val="Document Map Char"/>
    <w:aliases w:val="DN1 Char"/>
    <w:basedOn w:val="DefaultParagraphFont"/>
    <w:link w:val="DocumentMap"/>
    <w:rsid w:val="000A0FA7"/>
    <w:rPr>
      <w:rFonts w:ascii="Tahoma" w:eastAsia="SimSu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DNLegalDD7">
    <w:name w:val="DNLegalDD7"/>
    <w:basedOn w:val="ListParagraph"/>
    <w:rsid w:val="00A41B3B"/>
    <w:pPr>
      <w:numPr>
        <w:numId w:val="1"/>
      </w:numPr>
      <w:spacing w:before="240"/>
      <w:contextualSpacing w:val="0"/>
    </w:pPr>
    <w:rPr>
      <w:rFonts w:ascii="Times New Roman" w:hAnsi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A41B3B"/>
    <w:pPr>
      <w:ind w:left="720"/>
      <w:contextualSpacing/>
    </w:pPr>
    <w:rPr>
      <w:rFonts w:asciiTheme="minorHAnsi" w:hAnsiTheme="minorHAnsi" w:cstheme="minorBidi"/>
      <w:szCs w:val="22"/>
    </w:rPr>
  </w:style>
  <w:style w:type="numbering" w:styleId="111111">
    <w:name w:val="Outline List 2"/>
    <w:aliases w:val="DNLegal1"/>
    <w:basedOn w:val="NoList"/>
    <w:semiHidden/>
    <w:unhideWhenUsed/>
    <w:rsid w:val="004E42E6"/>
    <w:pPr>
      <w:numPr>
        <w:numId w:val="3"/>
      </w:numPr>
    </w:pPr>
  </w:style>
  <w:style w:type="paragraph" w:styleId="NormalWeb">
    <w:name w:val="Normal (Web)"/>
    <w:basedOn w:val="Normal"/>
    <w:uiPriority w:val="99"/>
    <w:unhideWhenUsed/>
    <w:rsid w:val="00772E5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07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00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0034"/>
    <w:rPr>
      <w:rFonts w:ascii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B0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0034"/>
    <w:rPr>
      <w:rFonts w:ascii="Times New Roman" w:hAnsi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6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8A"/>
    <w:rPr>
      <w:rFonts w:ascii="Segoe UI" w:hAnsi="Segoe UI" w:cs="Segoe UI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3E4F6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513FE"/>
    <w:rPr>
      <w:rFonts w:ascii="Times New Roman" w:eastAsia="Times New Roman" w:hAnsi="Times New Roman" w:cs="Times New Roman"/>
      <w:b/>
      <w:bCs/>
      <w:sz w:val="27"/>
      <w:szCs w:val="27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15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etnam-briefing.com/news/personal-income-tax-exemptions-and-reductions.htm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aonguyenleg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DNLegal</dc:creator>
  <cp:keywords/>
  <dc:description/>
  <cp:lastModifiedBy>Microsoft Office User</cp:lastModifiedBy>
  <cp:revision>5</cp:revision>
  <cp:lastPrinted>2020-11-07T04:11:00Z</cp:lastPrinted>
  <dcterms:created xsi:type="dcterms:W3CDTF">2020-11-16T03:48:00Z</dcterms:created>
  <dcterms:modified xsi:type="dcterms:W3CDTF">2020-11-16T04:07:00Z</dcterms:modified>
</cp:coreProperties>
</file>